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9D" w:rsidRPr="00DB0E99" w:rsidRDefault="009C27E2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-25.6pt;width:77.75pt;height:69.15pt;z-index:251657728" o:allowincell="f" stroked="f">
            <v:textbox>
              <w:txbxContent>
                <w:p w:rsidR="00BE25EF" w:rsidRDefault="00BE25EF">
                  <w:r>
                    <w:rPr>
                      <w:noProof/>
                    </w:rPr>
                    <w:drawing>
                      <wp:inline distT="0" distB="0" distL="0" distR="0">
                        <wp:extent cx="752475" cy="733425"/>
                        <wp:effectExtent l="19050" t="0" r="9525" b="0"/>
                        <wp:docPr id="2" name="Picture 1" descr="komensk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mensk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689D" w:rsidRPr="00DB0E99">
        <w:t>Česká společnost aktuárů</w:t>
      </w:r>
    </w:p>
    <w:p w:rsidR="0008689D" w:rsidRPr="00DB0E99" w:rsidRDefault="0008689D">
      <w:pPr>
        <w:pBdr>
          <w:bottom w:val="single" w:sz="6" w:space="1" w:color="auto"/>
        </w:pBdr>
        <w:spacing w:before="120"/>
        <w:jc w:val="center"/>
        <w:rPr>
          <w:i/>
          <w:sz w:val="24"/>
        </w:rPr>
      </w:pPr>
      <w:r w:rsidRPr="00DB0E99">
        <w:rPr>
          <w:i/>
          <w:sz w:val="24"/>
        </w:rPr>
        <w:t>Sokolovská 83,  186 75  Praha 8</w:t>
      </w:r>
    </w:p>
    <w:p w:rsidR="000B214D" w:rsidRPr="00DB0E99" w:rsidRDefault="000B214D"/>
    <w:p w:rsidR="0008689D" w:rsidRPr="00DB0E99" w:rsidRDefault="0008689D"/>
    <w:p w:rsidR="0008689D" w:rsidRPr="00DB0E99" w:rsidRDefault="0008689D"/>
    <w:p w:rsidR="0008689D" w:rsidRPr="00DB0E99" w:rsidRDefault="0008689D">
      <w:pPr>
        <w:pStyle w:val="Heading3"/>
        <w:rPr>
          <w:rFonts w:ascii="Times New Roman" w:hAnsi="Times New Roman" w:cs="Times New Roman"/>
          <w:sz w:val="36"/>
        </w:rPr>
      </w:pPr>
      <w:r w:rsidRPr="00DB0E99">
        <w:rPr>
          <w:rFonts w:ascii="Times New Roman" w:hAnsi="Times New Roman" w:cs="Times New Roman"/>
          <w:sz w:val="36"/>
        </w:rPr>
        <w:t>Zpráva o činnosti za rok 20</w:t>
      </w:r>
      <w:r w:rsidR="00DB0E99" w:rsidRPr="00DB0E99">
        <w:rPr>
          <w:rFonts w:ascii="Times New Roman" w:hAnsi="Times New Roman" w:cs="Times New Roman"/>
          <w:sz w:val="36"/>
        </w:rPr>
        <w:t>11</w:t>
      </w:r>
    </w:p>
    <w:p w:rsidR="0008689D" w:rsidRPr="00DB0E99" w:rsidRDefault="0008689D">
      <w:pPr>
        <w:pStyle w:val="BodyText"/>
      </w:pPr>
    </w:p>
    <w:p w:rsidR="000B214D" w:rsidRPr="00DB0E99" w:rsidRDefault="00DB0E99" w:rsidP="00283426">
      <w:pPr>
        <w:pStyle w:val="BodyText"/>
        <w:spacing w:after="120"/>
        <w:rPr>
          <w:b/>
          <w:sz w:val="26"/>
          <w:szCs w:val="26"/>
        </w:rPr>
      </w:pPr>
      <w:r w:rsidRPr="00DB0E99">
        <w:rPr>
          <w:b/>
          <w:sz w:val="26"/>
          <w:szCs w:val="26"/>
        </w:rPr>
        <w:t>Členská základna, orgány společnosti</w:t>
      </w:r>
    </w:p>
    <w:p w:rsidR="00DB0E99" w:rsidRPr="00DB0E99" w:rsidRDefault="00DB0E99" w:rsidP="00283426">
      <w:pPr>
        <w:pStyle w:val="BodyText"/>
        <w:spacing w:after="120"/>
      </w:pPr>
      <w:r w:rsidRPr="00DB0E99">
        <w:t>Na počátku roku 201</w:t>
      </w:r>
      <w:r>
        <w:t>1</w:t>
      </w:r>
      <w:r w:rsidRPr="00DB0E99">
        <w:t xml:space="preserve"> měla společnost </w:t>
      </w:r>
      <w:r>
        <w:t>209</w:t>
      </w:r>
      <w:r w:rsidRPr="00DB0E99">
        <w:t xml:space="preserve"> členů. V roce 201</w:t>
      </w:r>
      <w:r>
        <w:t>1</w:t>
      </w:r>
      <w:r w:rsidRPr="00DB0E99">
        <w:t xml:space="preserve"> bylo přijato </w:t>
      </w:r>
      <w:r w:rsidR="00E65F75">
        <w:t>13</w:t>
      </w:r>
      <w:r w:rsidRPr="00DB0E99">
        <w:t xml:space="preserve"> členů, členství zaniklo </w:t>
      </w:r>
      <w:r w:rsidR="00E65F75">
        <w:t>15</w:t>
      </w:r>
      <w:r w:rsidRPr="00DB0E99">
        <w:t xml:space="preserve"> členům. Ke dni valné hromady má ČSpA </w:t>
      </w:r>
      <w:r w:rsidR="00E65F75">
        <w:t>207</w:t>
      </w:r>
      <w:r w:rsidRPr="00DB0E99">
        <w:t xml:space="preserve"> členů.</w:t>
      </w:r>
    </w:p>
    <w:p w:rsidR="00DB0E99" w:rsidRDefault="00DB0E99" w:rsidP="00283426">
      <w:pPr>
        <w:pStyle w:val="BodyText"/>
        <w:spacing w:after="120"/>
      </w:pPr>
      <w:r>
        <w:t>Působnost členů výboru:</w:t>
      </w:r>
    </w:p>
    <w:p w:rsidR="00056118" w:rsidRDefault="00056118" w:rsidP="00056118">
      <w:pPr>
        <w:pStyle w:val="BodyText"/>
        <w:numPr>
          <w:ilvl w:val="0"/>
          <w:numId w:val="19"/>
        </w:numPr>
        <w:spacing w:after="120"/>
      </w:pPr>
      <w:r>
        <w:t>Petr Bohumský</w:t>
      </w:r>
      <w:r w:rsidR="009B1F83">
        <w:t>, předseda – vztahy s IAA</w:t>
      </w:r>
    </w:p>
    <w:p w:rsidR="00056118" w:rsidRDefault="00056118" w:rsidP="00056118">
      <w:pPr>
        <w:pStyle w:val="BodyText"/>
        <w:numPr>
          <w:ilvl w:val="0"/>
          <w:numId w:val="19"/>
        </w:numPr>
        <w:spacing w:after="120"/>
      </w:pPr>
      <w:r>
        <w:t>Lucie Mazurová</w:t>
      </w:r>
      <w:r w:rsidR="009B1F83">
        <w:t xml:space="preserve">, místopředsedkyně – vzdělávání a udělování osvědčení </w:t>
      </w:r>
    </w:p>
    <w:p w:rsidR="00056118" w:rsidRDefault="00056118" w:rsidP="00056118">
      <w:pPr>
        <w:pStyle w:val="BodyText"/>
        <w:numPr>
          <w:ilvl w:val="0"/>
          <w:numId w:val="19"/>
        </w:numPr>
        <w:spacing w:after="120"/>
      </w:pPr>
      <w:r>
        <w:t>Vít Šroller</w:t>
      </w:r>
      <w:r w:rsidR="009B1F83">
        <w:t xml:space="preserve">, místopředseda – CPD </w:t>
      </w:r>
    </w:p>
    <w:p w:rsidR="00056118" w:rsidRDefault="00056118" w:rsidP="00056118">
      <w:pPr>
        <w:pStyle w:val="BodyText"/>
        <w:numPr>
          <w:ilvl w:val="0"/>
          <w:numId w:val="19"/>
        </w:numPr>
        <w:spacing w:after="120"/>
      </w:pPr>
      <w:r>
        <w:t>Jan Šváb</w:t>
      </w:r>
      <w:r w:rsidR="009B1F83">
        <w:t>, jednatel – vnitřní informovanost</w:t>
      </w:r>
    </w:p>
    <w:p w:rsidR="00056118" w:rsidRDefault="00056118" w:rsidP="00056118">
      <w:pPr>
        <w:pStyle w:val="BodyText"/>
        <w:numPr>
          <w:ilvl w:val="0"/>
          <w:numId w:val="19"/>
        </w:numPr>
        <w:spacing w:after="120"/>
      </w:pPr>
      <w:r>
        <w:t>Kateřina Vlčková</w:t>
      </w:r>
      <w:r w:rsidR="009B1F83">
        <w:t>, hospodářka – evidence členů a hospodaření</w:t>
      </w:r>
    </w:p>
    <w:p w:rsidR="00056118" w:rsidRDefault="00056118" w:rsidP="00056118">
      <w:pPr>
        <w:pStyle w:val="BodyText"/>
        <w:numPr>
          <w:ilvl w:val="0"/>
          <w:numId w:val="19"/>
        </w:numPr>
        <w:spacing w:after="120"/>
      </w:pPr>
      <w:r>
        <w:t>Jiří Fialka</w:t>
      </w:r>
      <w:r w:rsidR="009B1F83">
        <w:t>, člen – vztahy s GC</w:t>
      </w:r>
    </w:p>
    <w:p w:rsidR="00056118" w:rsidRDefault="00056118" w:rsidP="00056118">
      <w:pPr>
        <w:pStyle w:val="BodyText"/>
        <w:numPr>
          <w:ilvl w:val="0"/>
          <w:numId w:val="19"/>
        </w:numPr>
        <w:spacing w:after="120"/>
      </w:pPr>
      <w:r>
        <w:t>Imrich Lozsi</w:t>
      </w:r>
      <w:r w:rsidR="009B1F83">
        <w:t xml:space="preserve">, člen – sociální reformy </w:t>
      </w:r>
    </w:p>
    <w:p w:rsidR="00056118" w:rsidRDefault="00056118" w:rsidP="00056118">
      <w:pPr>
        <w:pStyle w:val="BodyText"/>
        <w:numPr>
          <w:ilvl w:val="0"/>
          <w:numId w:val="19"/>
        </w:numPr>
        <w:spacing w:after="120"/>
      </w:pPr>
      <w:r>
        <w:t>Josef Lukášek</w:t>
      </w:r>
      <w:r w:rsidR="009B1F83">
        <w:t xml:space="preserve">, člen – legislativa </w:t>
      </w:r>
    </w:p>
    <w:p w:rsidR="00056118" w:rsidRDefault="00056118" w:rsidP="00056118">
      <w:pPr>
        <w:pStyle w:val="BodyText"/>
        <w:numPr>
          <w:ilvl w:val="0"/>
          <w:numId w:val="19"/>
        </w:numPr>
        <w:spacing w:after="120"/>
      </w:pPr>
      <w:r>
        <w:t>Zuzana Kepková</w:t>
      </w:r>
      <w:r w:rsidR="009B1F83">
        <w:t xml:space="preserve">, člen – </w:t>
      </w:r>
      <w:r w:rsidR="00844EBB">
        <w:t xml:space="preserve">komunikace, </w:t>
      </w:r>
      <w:r w:rsidR="009B1F83">
        <w:t>rozvoj členské základny</w:t>
      </w:r>
    </w:p>
    <w:p w:rsidR="00056118" w:rsidRDefault="00056118" w:rsidP="00056118">
      <w:pPr>
        <w:pStyle w:val="BodyText"/>
        <w:spacing w:after="120"/>
      </w:pPr>
      <w:r>
        <w:t xml:space="preserve">Složení </w:t>
      </w:r>
      <w:r w:rsidR="009B1F83">
        <w:t>R</w:t>
      </w:r>
      <w:r>
        <w:t>evizní komise:</w:t>
      </w:r>
    </w:p>
    <w:p w:rsidR="00056118" w:rsidRDefault="00056118" w:rsidP="00056118">
      <w:pPr>
        <w:pStyle w:val="BodyText"/>
        <w:numPr>
          <w:ilvl w:val="0"/>
          <w:numId w:val="18"/>
        </w:numPr>
        <w:spacing w:after="120"/>
      </w:pPr>
      <w:r>
        <w:t>Tomáš Cipra, Jan Kořistka, Kateřina Janoušková</w:t>
      </w:r>
    </w:p>
    <w:p w:rsidR="00056118" w:rsidRDefault="00056118" w:rsidP="00056118">
      <w:pPr>
        <w:pStyle w:val="BodyText"/>
        <w:spacing w:after="120"/>
      </w:pPr>
      <w:r>
        <w:t>Složení Komise pro udělování osvědčení:</w:t>
      </w:r>
    </w:p>
    <w:p w:rsidR="00056118" w:rsidRDefault="00056118" w:rsidP="00283426">
      <w:pPr>
        <w:pStyle w:val="BodyText"/>
        <w:numPr>
          <w:ilvl w:val="0"/>
          <w:numId w:val="18"/>
        </w:numPr>
        <w:spacing w:after="120"/>
      </w:pPr>
      <w:r>
        <w:t>Tomáš Cipra, Jiří Fialka, Pavel Finfrle, Tereza Přecechtělová, Petr Mandl, Lucie Mazurová, Vít Šroller, Monika Šťástková, Jan Šváb, Vladimíra Unzeitigová, Dana Vorlíčková</w:t>
      </w:r>
    </w:p>
    <w:p w:rsidR="00056118" w:rsidRDefault="00056118" w:rsidP="00283426">
      <w:pPr>
        <w:pStyle w:val="BodyText"/>
        <w:spacing w:after="120"/>
      </w:pPr>
    </w:p>
    <w:p w:rsidR="00283426" w:rsidRPr="00DB0E99" w:rsidRDefault="00045B97" w:rsidP="00283426">
      <w:pPr>
        <w:pStyle w:val="BodyText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Hlavní úkoly 2011</w:t>
      </w:r>
    </w:p>
    <w:p w:rsidR="00283426" w:rsidRDefault="00D12E6F" w:rsidP="00283426">
      <w:pPr>
        <w:pStyle w:val="BodyText"/>
        <w:spacing w:after="120"/>
      </w:pPr>
      <w:r>
        <w:t>Činnost v roce 2011 se zaměřovala na tři zásadní úkoly:</w:t>
      </w:r>
    </w:p>
    <w:p w:rsidR="00D12E6F" w:rsidRDefault="00D12E6F" w:rsidP="00D12E6F">
      <w:pPr>
        <w:pStyle w:val="BodyText"/>
        <w:numPr>
          <w:ilvl w:val="0"/>
          <w:numId w:val="18"/>
        </w:numPr>
        <w:spacing w:after="120"/>
      </w:pPr>
      <w:r>
        <w:t>Implementace Solventnosti II – zapojení do projektu s ostatními zainteresovanými stranami a vyj</w:t>
      </w:r>
      <w:r w:rsidR="00C802CA">
        <w:t>ednávání o roli aktuára v pojišť</w:t>
      </w:r>
      <w:r>
        <w:t>ovnách v novém regul</w:t>
      </w:r>
      <w:r w:rsidR="00C802CA">
        <w:t>a</w:t>
      </w:r>
      <w:r>
        <w:t>torním režimu</w:t>
      </w:r>
      <w:r w:rsidR="000C5C3E">
        <w:t>.</w:t>
      </w:r>
    </w:p>
    <w:p w:rsidR="00D12E6F" w:rsidRDefault="00D12E6F" w:rsidP="00D12E6F">
      <w:pPr>
        <w:pStyle w:val="BodyText"/>
        <w:numPr>
          <w:ilvl w:val="0"/>
          <w:numId w:val="18"/>
        </w:numPr>
        <w:spacing w:after="120"/>
      </w:pPr>
      <w:r>
        <w:t xml:space="preserve">Vzdělávání – spolupořádání Semináře z aktuárských věd na matematicko-fyzikální fakultě </w:t>
      </w:r>
      <w:r w:rsidR="000C5C3E">
        <w:t>a organizování dalších jednorázových vzdělávacích akcí v rámci celoživotního vzdělávání.</w:t>
      </w:r>
    </w:p>
    <w:p w:rsidR="000C5C3E" w:rsidRPr="00DB0E99" w:rsidRDefault="000C5C3E" w:rsidP="00D12E6F">
      <w:pPr>
        <w:pStyle w:val="BodyText"/>
        <w:numPr>
          <w:ilvl w:val="0"/>
          <w:numId w:val="18"/>
        </w:numPr>
        <w:spacing w:after="120"/>
      </w:pPr>
      <w:r>
        <w:t>Organizace výročního zasedání Groupe Consultatif, které se konalo v říjnu v Praze za účastí stovky představitelů evropských aktuárských asociací a členů exekutivy Groupe Consultatif i IAA.</w:t>
      </w:r>
    </w:p>
    <w:p w:rsidR="000C5C3E" w:rsidRDefault="000C5C3E" w:rsidP="00283426">
      <w:pPr>
        <w:pStyle w:val="BodyText"/>
        <w:spacing w:after="120"/>
      </w:pPr>
    </w:p>
    <w:p w:rsidR="00283426" w:rsidRPr="00DB0E99" w:rsidRDefault="00045B97" w:rsidP="00283426">
      <w:pPr>
        <w:pStyle w:val="BodyText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Solventnost II</w:t>
      </w:r>
    </w:p>
    <w:p w:rsidR="00AB161C" w:rsidRDefault="0073162E" w:rsidP="00AB161C">
      <w:pPr>
        <w:pStyle w:val="BodyText"/>
        <w:spacing w:after="120"/>
      </w:pPr>
      <w:r w:rsidRPr="0073162E">
        <w:t xml:space="preserve">Projekt Solventnost II </w:t>
      </w:r>
      <w:r w:rsidR="007E0652">
        <w:t xml:space="preserve">v roce 2011 vykazoval významně intenzivnější činnost ze strany evropských institucí, což vyvolalo nutnou odezvu </w:t>
      </w:r>
      <w:r w:rsidR="00B10F9C">
        <w:t>i v rámci jednotlivých členských států.</w:t>
      </w:r>
      <w:r w:rsidR="00AB161C">
        <w:t xml:space="preserve"> V Česku pokračoval projekt za účasti České asociace pojišťoven, ministerstva financí, České národní banky a České společnosti aktuárů. V </w:t>
      </w:r>
      <w:r w:rsidRPr="0073162E">
        <w:t xml:space="preserve">řídícím výboru nás zastupují </w:t>
      </w:r>
      <w:r w:rsidR="00AB161C">
        <w:t>J.</w:t>
      </w:r>
      <w:r w:rsidRPr="0073162E">
        <w:t>Lukášek a P</w:t>
      </w:r>
      <w:r w:rsidR="00AB161C">
        <w:t>.</w:t>
      </w:r>
      <w:r w:rsidRPr="0073162E">
        <w:t xml:space="preserve">Bohumský, ale </w:t>
      </w:r>
      <w:r w:rsidR="00AB161C">
        <w:t xml:space="preserve">tím zapojení členů aktuárské společnosti zdaleka nekončí, neboť zastupují i další instituce anebo se přímo zapojují do činnosti pracovních týmů. </w:t>
      </w:r>
    </w:p>
    <w:p w:rsidR="00AB161C" w:rsidRDefault="00AB161C" w:rsidP="00AB161C">
      <w:pPr>
        <w:pStyle w:val="BodyText"/>
        <w:spacing w:after="120"/>
      </w:pPr>
      <w:r>
        <w:t>Významným tématem letošního roku bylo zakotvení role aktuára v novém regulatorním prostředí. Absolvovali jsme několik jednání buď bilaterálních se všemi zainteresovanými stranami anebo v rámci pracovního týmu pro legislativu. Tato jednání přinesla významný posun v pochopení role aktuára v pojišťovnách, k dovysvětlení role odpovědného pojistného matematika nejen ve vztahu k solventnosti, ale i dalším činnostem v pojišťovnictví a přispěla tak zejména k definování aktuárské funkce v nové legislativě. Aktuální (nikoli finální) návrh novely zákona o pojišťovnictví nepočítá se zachováním současné role odpovědného pojistného matematika, avšak předpokládá se zapojení pojistných matematiků nejen ve specificky definované aktuárské funkci, ale i dalších předepsaných činnostech.</w:t>
      </w:r>
      <w:r w:rsidR="004246CE">
        <w:t xml:space="preserve"> Definice role pojistného matematika není českým specifikem, ale řeší se i v ostatních státech a na evropské úrovni.</w:t>
      </w:r>
    </w:p>
    <w:p w:rsidR="00283426" w:rsidRDefault="00283426" w:rsidP="00283426">
      <w:pPr>
        <w:pStyle w:val="BodyText"/>
        <w:spacing w:after="120"/>
      </w:pPr>
    </w:p>
    <w:p w:rsidR="00283426" w:rsidRPr="00DB0E99" w:rsidRDefault="000C5C3E" w:rsidP="00283426">
      <w:pPr>
        <w:pStyle w:val="BodyText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Vzdělávání</w:t>
      </w:r>
      <w:r w:rsidR="0073162E">
        <w:rPr>
          <w:b/>
          <w:sz w:val="26"/>
          <w:szCs w:val="26"/>
        </w:rPr>
        <w:t xml:space="preserve"> a udělování osvědčení</w:t>
      </w:r>
    </w:p>
    <w:p w:rsidR="00F551B8" w:rsidRPr="00F551B8" w:rsidRDefault="001247FC" w:rsidP="00F551B8">
      <w:pPr>
        <w:pStyle w:val="BodyText"/>
        <w:spacing w:after="120"/>
      </w:pPr>
      <w:r>
        <w:t xml:space="preserve">Nosnou částí </w:t>
      </w:r>
      <w:r w:rsidR="00B55330">
        <w:t>systému vzdělávání je s</w:t>
      </w:r>
      <w:r w:rsidR="00B55330" w:rsidRPr="00F551B8">
        <w:t>eminář z aktuárských věd</w:t>
      </w:r>
      <w:r w:rsidR="00B55330">
        <w:t xml:space="preserve"> na matematicko-fyzikální fakultě. </w:t>
      </w:r>
      <w:r w:rsidR="00F551B8" w:rsidRPr="00F551B8">
        <w:t>V roce 201</w:t>
      </w:r>
      <w:r w:rsidR="00F551B8">
        <w:t>1</w:t>
      </w:r>
      <w:r w:rsidR="00F551B8" w:rsidRPr="00F551B8">
        <w:t xml:space="preserve"> bylo pořádáno 2</w:t>
      </w:r>
      <w:r w:rsidR="00F551B8">
        <w:t>1</w:t>
      </w:r>
      <w:r w:rsidR="00F551B8" w:rsidRPr="00F551B8">
        <w:t xml:space="preserve"> </w:t>
      </w:r>
      <w:r w:rsidR="00F551B8">
        <w:t>s</w:t>
      </w:r>
      <w:r w:rsidR="00F551B8" w:rsidRPr="00F551B8">
        <w:t>eminářů.</w:t>
      </w:r>
      <w:r w:rsidR="00F551B8">
        <w:t xml:space="preserve"> </w:t>
      </w:r>
      <w:r w:rsidR="00F551B8" w:rsidRPr="00F551B8">
        <w:t xml:space="preserve">V rámci projektu Matematika a řízení rizik bylo předneseno </w:t>
      </w:r>
      <w:r w:rsidR="00F551B8">
        <w:t xml:space="preserve">P.Mandlem, L.Mazurovou a I.Justovou </w:t>
      </w:r>
      <w:r w:rsidR="00F551B8" w:rsidRPr="00F551B8">
        <w:t>1</w:t>
      </w:r>
      <w:r w:rsidR="00F551B8">
        <w:t>0</w:t>
      </w:r>
      <w:r w:rsidR="00F551B8" w:rsidRPr="00F551B8">
        <w:t xml:space="preserve"> přednášek. Části Aktuální aktuárská témata bylo věnováno </w:t>
      </w:r>
      <w:r w:rsidR="00F551B8">
        <w:t>11</w:t>
      </w:r>
      <w:r w:rsidR="00F551B8" w:rsidRPr="00F551B8">
        <w:t xml:space="preserve"> seminářů, </w:t>
      </w:r>
      <w:r w:rsidR="00F551B8">
        <w:t>které byly zařazeny do programu celoživotního vzdělávání</w:t>
      </w:r>
      <w:r w:rsidR="00F551B8" w:rsidRPr="00F551B8">
        <w:t>.</w:t>
      </w:r>
    </w:p>
    <w:p w:rsidR="009634B5" w:rsidRDefault="009634B5" w:rsidP="001247FC">
      <w:pPr>
        <w:pStyle w:val="BodyText"/>
        <w:spacing w:after="120"/>
      </w:pPr>
      <w:r w:rsidRPr="009634B5">
        <w:t>Pracovní skupina pro CPD zorganizovala v roce 201</w:t>
      </w:r>
      <w:r>
        <w:t>1</w:t>
      </w:r>
      <w:r w:rsidRPr="009634B5">
        <w:t xml:space="preserve"> </w:t>
      </w:r>
      <w:r>
        <w:t xml:space="preserve">celodenní seminář </w:t>
      </w:r>
      <w:r w:rsidRPr="009634B5">
        <w:t>Použití cash-flow modelů v</w:t>
      </w:r>
      <w:r>
        <w:t> </w:t>
      </w:r>
      <w:r w:rsidRPr="009634B5">
        <w:t>pojišťovnictví</w:t>
      </w:r>
      <w:r>
        <w:t>, který připravili M.Vítková a K.Žák. Seminář byl zaměřen na mírně pokročilé pojistné matematiky a c</w:t>
      </w:r>
      <w:r w:rsidRPr="009634B5">
        <w:t xml:space="preserve">ílem </w:t>
      </w:r>
      <w:r>
        <w:t>bylo</w:t>
      </w:r>
      <w:r w:rsidRPr="009634B5">
        <w:t xml:space="preserve"> představit použití </w:t>
      </w:r>
      <w:r>
        <w:t xml:space="preserve">cash-flow </w:t>
      </w:r>
      <w:r w:rsidRPr="009634B5">
        <w:t xml:space="preserve">modelů v dnešním pojišťovnictví, zejména v návaznosti na </w:t>
      </w:r>
      <w:r>
        <w:t>výpočet hodnoty, přiměřenosti technických rezerv, účetní standardy, výpočet sazeb a profitability životního pojištění.</w:t>
      </w:r>
      <w:r w:rsidRPr="009634B5">
        <w:t xml:space="preserve"> Účastníci </w:t>
      </w:r>
      <w:r>
        <w:t xml:space="preserve">měli </w:t>
      </w:r>
      <w:r w:rsidRPr="009634B5">
        <w:t xml:space="preserve">možnost vyzkoušet si praktické využití jednoduchého </w:t>
      </w:r>
      <w:r>
        <w:t>cash-flow</w:t>
      </w:r>
      <w:r w:rsidRPr="009634B5">
        <w:t xml:space="preserve"> modelu. </w:t>
      </w:r>
    </w:p>
    <w:p w:rsidR="00A723E6" w:rsidRDefault="009634B5" w:rsidP="001247FC">
      <w:pPr>
        <w:pStyle w:val="BodyText"/>
        <w:spacing w:after="120"/>
      </w:pPr>
      <w:r>
        <w:t>Druhým úspěšným a plně obsazeným seminářem byl polodenní Profesionalismus v </w:t>
      </w:r>
      <w:r w:rsidRPr="009634B5">
        <w:t>aktuárské praxi</w:t>
      </w:r>
      <w:r>
        <w:t xml:space="preserve"> II</w:t>
      </w:r>
      <w:r w:rsidRPr="009634B5">
        <w:t xml:space="preserve">, který </w:t>
      </w:r>
      <w:r>
        <w:t>navazoval na dosavadní semináře profesionalismu. Hlavním přednášejícím byl C.Daykin, president Group Consultatif. Seminář kromě přednáškové části zahrnoval i interak</w:t>
      </w:r>
      <w:r w:rsidR="00A723E6">
        <w:t>tivní řešení případových studií z oblasti aktuárské praxe.</w:t>
      </w:r>
    </w:p>
    <w:p w:rsidR="001247FC" w:rsidRDefault="001247FC" w:rsidP="001247FC">
      <w:pPr>
        <w:pStyle w:val="BodyText"/>
        <w:spacing w:after="120"/>
      </w:pPr>
      <w:r>
        <w:t xml:space="preserve">Spolupráce </w:t>
      </w:r>
      <w:r w:rsidR="00B55330">
        <w:t xml:space="preserve">s matematicko-fyzikální fakultou probíhala i v oblasti rozvoje základního programu studia finanční a pojistné matematiky. </w:t>
      </w:r>
      <w:r w:rsidR="003875BC">
        <w:t>Česká společnost aktuárů byla přizvána k diskusi o obsahu studia a ke spolupráci při definování odborného zaměření.</w:t>
      </w:r>
    </w:p>
    <w:p w:rsidR="00283426" w:rsidRDefault="003875BC" w:rsidP="00283426">
      <w:pPr>
        <w:pStyle w:val="BodyText"/>
        <w:spacing w:after="120"/>
      </w:pPr>
      <w:r>
        <w:t>Současně probíhá vzdělávání pojistných matematiků i na jiných školách</w:t>
      </w:r>
      <w:r w:rsidR="009634B5">
        <w:t>, na některých již tradičně, některé zavedení speciálního studia připravují</w:t>
      </w:r>
      <w:r>
        <w:t xml:space="preserve">. </w:t>
      </w:r>
      <w:r w:rsidR="009634B5">
        <w:t xml:space="preserve">Je výhodné, pokud gesci nad odbornými předměty přebírají členové společnosti, kteří navíc mohou vzájemně sdílet své zkušenosti. </w:t>
      </w:r>
      <w:r>
        <w:t>Jednou z č</w:t>
      </w:r>
      <w:r w:rsidR="00BE25EF">
        <w:t>innost</w:t>
      </w:r>
      <w:r>
        <w:t>í</w:t>
      </w:r>
      <w:r w:rsidR="00BE25EF">
        <w:t xml:space="preserve"> Výboru a Aprobační komise </w:t>
      </w:r>
      <w:r>
        <w:t xml:space="preserve">je </w:t>
      </w:r>
      <w:r w:rsidR="00BE25EF">
        <w:t xml:space="preserve">rovněž </w:t>
      </w:r>
      <w:r>
        <w:t>posouzení souladu obsahu studia s požadavky evropského Core Syllabu a interních pra</w:t>
      </w:r>
      <w:r w:rsidR="00C802CA">
        <w:t>v</w:t>
      </w:r>
      <w:r>
        <w:t>idel pro udělování osvědčení.</w:t>
      </w:r>
    </w:p>
    <w:p w:rsidR="00283426" w:rsidRPr="00DB0E99" w:rsidRDefault="007E0652" w:rsidP="007E0652">
      <w:pPr>
        <w:shd w:val="clear" w:color="auto" w:fill="FFFFFF"/>
        <w:jc w:val="both"/>
      </w:pPr>
      <w:r w:rsidRPr="00DB0E99">
        <w:rPr>
          <w:sz w:val="24"/>
          <w:szCs w:val="24"/>
        </w:rPr>
        <w:lastRenderedPageBreak/>
        <w:t xml:space="preserve">Schůze </w:t>
      </w:r>
      <w:r>
        <w:rPr>
          <w:sz w:val="24"/>
          <w:szCs w:val="24"/>
        </w:rPr>
        <w:t>A</w:t>
      </w:r>
      <w:r w:rsidRPr="00DB0E99">
        <w:rPr>
          <w:sz w:val="24"/>
          <w:szCs w:val="24"/>
        </w:rPr>
        <w:t>probační komise se v roce 201</w:t>
      </w:r>
      <w:r>
        <w:rPr>
          <w:sz w:val="24"/>
          <w:szCs w:val="24"/>
        </w:rPr>
        <w:t>1 konaly 23</w:t>
      </w:r>
      <w:r w:rsidRPr="00DB0E99">
        <w:rPr>
          <w:sz w:val="24"/>
          <w:szCs w:val="24"/>
        </w:rPr>
        <w:t xml:space="preserve">.6. a </w:t>
      </w:r>
      <w:r>
        <w:rPr>
          <w:sz w:val="24"/>
          <w:szCs w:val="24"/>
        </w:rPr>
        <w:t>8</w:t>
      </w:r>
      <w:r w:rsidRPr="00DB0E99">
        <w:rPr>
          <w:sz w:val="24"/>
          <w:szCs w:val="24"/>
        </w:rPr>
        <w:t xml:space="preserve">.12. Komise </w:t>
      </w:r>
      <w:r>
        <w:rPr>
          <w:sz w:val="24"/>
          <w:szCs w:val="24"/>
        </w:rPr>
        <w:t xml:space="preserve">udělila osvědčení </w:t>
      </w:r>
      <w:r w:rsidR="003875BC">
        <w:rPr>
          <w:sz w:val="24"/>
          <w:szCs w:val="24"/>
        </w:rPr>
        <w:t>osmi</w:t>
      </w:r>
      <w:r>
        <w:rPr>
          <w:sz w:val="24"/>
          <w:szCs w:val="24"/>
        </w:rPr>
        <w:t xml:space="preserve"> novým uchazečům a k</w:t>
      </w:r>
      <w:r w:rsidRPr="00DB0E99">
        <w:rPr>
          <w:sz w:val="24"/>
          <w:szCs w:val="24"/>
        </w:rPr>
        <w:t xml:space="preserve"> dnešnímu dni má </w:t>
      </w:r>
      <w:r>
        <w:rPr>
          <w:sz w:val="24"/>
          <w:szCs w:val="24"/>
        </w:rPr>
        <w:t xml:space="preserve">tak </w:t>
      </w:r>
      <w:r w:rsidRPr="00DB0E99">
        <w:rPr>
          <w:sz w:val="24"/>
          <w:szCs w:val="24"/>
        </w:rPr>
        <w:t xml:space="preserve">společnost </w:t>
      </w:r>
      <w:r>
        <w:rPr>
          <w:sz w:val="24"/>
          <w:szCs w:val="24"/>
        </w:rPr>
        <w:t>6</w:t>
      </w:r>
      <w:r w:rsidR="001019C6">
        <w:rPr>
          <w:sz w:val="24"/>
          <w:szCs w:val="24"/>
        </w:rPr>
        <w:t>6</w:t>
      </w:r>
      <w:r w:rsidRPr="00DB0E99">
        <w:rPr>
          <w:sz w:val="24"/>
          <w:szCs w:val="24"/>
        </w:rPr>
        <w:t xml:space="preserve"> certifikovaných členů.</w:t>
      </w:r>
    </w:p>
    <w:p w:rsidR="00283426" w:rsidRDefault="00283426" w:rsidP="00283426">
      <w:pPr>
        <w:pStyle w:val="BodyText"/>
        <w:spacing w:after="120"/>
      </w:pPr>
    </w:p>
    <w:p w:rsidR="0073162E" w:rsidRPr="00DB0E99" w:rsidRDefault="0073162E" w:rsidP="0073162E">
      <w:pPr>
        <w:pStyle w:val="BodyText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Činnost stálé pracovní skupiny </w:t>
      </w:r>
    </w:p>
    <w:p w:rsidR="0073162E" w:rsidRPr="00DB0E99" w:rsidRDefault="008C667F" w:rsidP="0073162E">
      <w:pPr>
        <w:pStyle w:val="BodyText"/>
        <w:spacing w:after="120"/>
      </w:pPr>
      <w:r>
        <w:t>V průběhu letošního roku došlo k revizi činnosti stálé pracovní skupiny pod vedením J.Lukáška. Byly stanoveny nové principy výběru aktuálních témat a forma jejich projednávání. Nový statut skupiny byl zveřejněn na stránkách počátkem října a od té doby již skupina pracuje nově definovaným způsobem.</w:t>
      </w:r>
    </w:p>
    <w:p w:rsidR="00565A71" w:rsidRDefault="00A1008E" w:rsidP="00A1008E">
      <w:pPr>
        <w:pStyle w:val="BodyText"/>
        <w:spacing w:after="120"/>
      </w:pPr>
      <w:r>
        <w:t xml:space="preserve">Členství v pracovní skupině je otevřené všem členům ČSpA, kteří jsou ochotni zapojit se do diskuse nad aktuálním tématem, občas přijmout zodpovědnost za seznámení ostatních členů s aktuálním tématem a vedení diskuse k němu. </w:t>
      </w:r>
      <w:r w:rsidR="00565A71">
        <w:t>Frekvence setkání pracovní skupiny je 4-6 týdnů, což umožňuje formulovat oficiální reakce na aktuální témata. O výstupech pracovní skupiny jsou ostatní členové informováni prostřednictvím internetu.</w:t>
      </w:r>
    </w:p>
    <w:p w:rsidR="00F760A8" w:rsidRDefault="00F760A8" w:rsidP="00F760A8">
      <w:pPr>
        <w:pStyle w:val="BodyText"/>
        <w:spacing w:after="120"/>
      </w:pPr>
      <w:r>
        <w:t>Jako aktuální témata k diskusi byla identifikována například standardy aktuárské práce v systému Solventnost II, parametry Solventnosti II definované v evropské legislativě druhé a třetí úrovně, novela zákona o pojišťovnictví, implementace antidiskriminační směrnice, a další.</w:t>
      </w:r>
    </w:p>
    <w:p w:rsidR="00565A71" w:rsidRDefault="00565A71" w:rsidP="00A1008E">
      <w:pPr>
        <w:pStyle w:val="BodyText"/>
        <w:spacing w:after="120"/>
      </w:pPr>
    </w:p>
    <w:p w:rsidR="000C5C3E" w:rsidRPr="00DB0E99" w:rsidRDefault="000C5C3E" w:rsidP="000C5C3E">
      <w:pPr>
        <w:pStyle w:val="BodyText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Mezinárodní vztahy</w:t>
      </w:r>
    </w:p>
    <w:p w:rsidR="000C5C3E" w:rsidRDefault="00565A71" w:rsidP="000C5C3E">
      <w:pPr>
        <w:pStyle w:val="BodyText"/>
        <w:spacing w:after="120"/>
      </w:pPr>
      <w:r>
        <w:t>Nejviditelnějším zapojením do mezinárodní činnosti byla organizace výroční valné hromady a zasedání jednotlivých výborů Groupe Consultatif v říjnu 2011</w:t>
      </w:r>
      <w:r w:rsidR="000C5C3E" w:rsidRPr="00DB0E99">
        <w:t>.</w:t>
      </w:r>
      <w:r>
        <w:t xml:space="preserve"> </w:t>
      </w:r>
      <w:r w:rsidR="00E65F75">
        <w:t>Do aktivní přípravy byl zapojen široký okruh členů ČSpA koordinovaný J.Fialkou. Zásadní pro zdárný průběh akce bylo zabezpečení prostor pro konání (Z.Roubal)</w:t>
      </w:r>
      <w:r w:rsidR="00933E90">
        <w:t>, organizační podpora a spolupráce se sekretariátem Group Counsultatif (externí spolupracovnice pod vedením E.Hlaváčkové)</w:t>
      </w:r>
      <w:r w:rsidR="00E65F75">
        <w:t xml:space="preserve"> a </w:t>
      </w:r>
      <w:r w:rsidR="00933E90">
        <w:t xml:space="preserve">v neposlední řadě obstarání </w:t>
      </w:r>
      <w:r w:rsidR="00E65F75">
        <w:t>fi</w:t>
      </w:r>
      <w:r w:rsidR="00933E90">
        <w:t xml:space="preserve">nancí. </w:t>
      </w:r>
      <w:r>
        <w:t>Tato událost byla předem komunikována jako riziková  z hlediska rozpočtu ČSpA, ale výdaj</w:t>
      </w:r>
      <w:r w:rsidR="00E65F75">
        <w:t xml:space="preserve">e se podařilo pokrýt sponzorsky, díky působení širokého okruhu členů na své zaměstnavatele. Konkrétní finanční výsledek představuje Zpráva o hospodaření. </w:t>
      </w:r>
    </w:p>
    <w:p w:rsidR="00933E90" w:rsidRDefault="00933E90" w:rsidP="000C5C3E">
      <w:pPr>
        <w:pStyle w:val="BodyText"/>
        <w:spacing w:after="120"/>
      </w:pPr>
      <w:r>
        <w:t>Další členové se aktivně účastnili odborného programu zasedání výborů – J.Šváb v Pojistném výboru</w:t>
      </w:r>
      <w:r w:rsidR="00C72FE8">
        <w:t xml:space="preserve"> </w:t>
      </w:r>
      <w:r w:rsidR="00C72FE8">
        <w:t>a pracovní skupině k roli pojistných matematiků</w:t>
      </w:r>
      <w:r>
        <w:t>, J.Fialka ve Všeobecném výboru</w:t>
      </w:r>
      <w:r w:rsidR="00FC4A53">
        <w:t xml:space="preserve"> a pracovní skupině pro aktuárské standardy</w:t>
      </w:r>
      <w:r>
        <w:t xml:space="preserve">, L.Mazurová ve Výboru pro vzdělávání, </w:t>
      </w:r>
      <w:r w:rsidR="00985C8E">
        <w:t xml:space="preserve">V.Krejčí ve Výboru pro finanční rizika, </w:t>
      </w:r>
      <w:r>
        <w:t>K.Žák, J. Kořistka a D.Chládková v rámci svých pracovních skupin.</w:t>
      </w:r>
    </w:p>
    <w:p w:rsidR="00933E90" w:rsidRDefault="00985C8E" w:rsidP="000C5C3E">
      <w:pPr>
        <w:pStyle w:val="BodyText"/>
        <w:spacing w:after="120"/>
      </w:pPr>
      <w:r>
        <w:t xml:space="preserve">Ze strany Group </w:t>
      </w:r>
      <w:r w:rsidR="00B773CC">
        <w:t>Consultatif i jednotlivých účastníků byla akce hodnocena velmi pozitivně, k čemuž rozhodující měrou přispěla vysoce profesionální úroveň organizace, za což všem zainteresovaným členům patří velký dík.</w:t>
      </w:r>
    </w:p>
    <w:p w:rsidR="00C30A18" w:rsidRPr="00DB0E99" w:rsidRDefault="0044571A" w:rsidP="000C5C3E">
      <w:pPr>
        <w:pStyle w:val="BodyText"/>
        <w:spacing w:after="120"/>
      </w:pPr>
      <w:r>
        <w:t xml:space="preserve">Na úrovni IAA </w:t>
      </w:r>
      <w:r w:rsidR="007A024E">
        <w:t xml:space="preserve">je činnost ČSpA omezena na monitorování stále rostoucích aktivit IAA v oblastech strategického plánování, aktuárských standardů, vzdělávání a profesionalismu. Naši členové nominovaní do odborných pracovních skupin sledují aktuální vývoj v oblastech účetních standardů, </w:t>
      </w:r>
      <w:r w:rsidR="00C30A18">
        <w:t>řízení rizik, penzijních systémů, regulace a dalších. IAA významně rozšiřuje své aktivity působení v rámci mezinárodních ekonomických uskupení, jako jsou OECD, G-20, Mezinárodní měnový fond nebo Mezinárodní organizace sociálního zabezpečení (ISSA). Nejvyšší orgán IAA (Council) a jednotlivé komise a pracovní skupiny zasedají dvakrát ročně, z toho zpravidla jednou v Evropě, v letošním roce jsme se zúčastnili (P.Bohumský) jednání v chorvatském Záhřebu.</w:t>
      </w:r>
    </w:p>
    <w:p w:rsidR="000C5C3E" w:rsidRPr="00DB0E99" w:rsidRDefault="000C5C3E" w:rsidP="000C5C3E">
      <w:pPr>
        <w:pStyle w:val="BodyText"/>
        <w:spacing w:after="120"/>
      </w:pPr>
    </w:p>
    <w:p w:rsidR="0073162E" w:rsidRPr="00DB0E99" w:rsidRDefault="009634B5" w:rsidP="0073162E">
      <w:pPr>
        <w:pStyle w:val="BodyText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Legislativa v oblasti sociálních reforem</w:t>
      </w:r>
    </w:p>
    <w:p w:rsidR="0073162E" w:rsidRPr="00DB0E99" w:rsidRDefault="00C01449" w:rsidP="0073162E">
      <w:pPr>
        <w:pStyle w:val="BodyText"/>
        <w:spacing w:after="120"/>
      </w:pPr>
      <w:r>
        <w:t xml:space="preserve">Výbor ČSpA identifikoval jako jednu z prioritních oblastí zapojení do odborné diskuse v oblasti sociálních reforem. J.Fialka se účastnil práce tzv. druhé Bezděkovy komise a na tuto činnost navázali J.Fialka a I.Lozsi přípravou písemného stanoviska, které </w:t>
      </w:r>
      <w:r w:rsidRPr="00C01449">
        <w:t>analyzoval</w:t>
      </w:r>
      <w:r>
        <w:t>o</w:t>
      </w:r>
      <w:r w:rsidRPr="00C01449">
        <w:t xml:space="preserve"> výhody a nevýhody jednotlivých alternativ reformy, resp. jejich předpokládané dopady z aktuárského hlediska. Zejména se jednalo o podmínky stanovení důchodů, vliv selekce a jiných faktorů na podobu systému. </w:t>
      </w:r>
      <w:r>
        <w:t>Toto stanovisko bylo projednáno se zástupci m</w:t>
      </w:r>
      <w:r w:rsidRPr="00C01449">
        <w:t xml:space="preserve">inisterstva financí a </w:t>
      </w:r>
      <w:r>
        <w:t>m</w:t>
      </w:r>
      <w:r w:rsidRPr="00C01449">
        <w:t>inisterstva práce a sociálních věcí</w:t>
      </w:r>
      <w:r>
        <w:t xml:space="preserve">, kde J.Lukášek rovněž představil </w:t>
      </w:r>
      <w:r w:rsidRPr="00C01449">
        <w:t>výpočetní nástroj pro modelování výplat důchodů. J</w:t>
      </w:r>
      <w:r>
        <w:t>.</w:t>
      </w:r>
      <w:r w:rsidRPr="00C01449">
        <w:t>Fialka byl moderátorem a odborným garantem konference o důchodové reformě, konané v červenci letošního roku.</w:t>
      </w:r>
    </w:p>
    <w:p w:rsidR="000E2A55" w:rsidRDefault="00C01449" w:rsidP="0073162E">
      <w:pPr>
        <w:pStyle w:val="BodyText"/>
        <w:spacing w:after="120"/>
      </w:pPr>
      <w:r>
        <w:t>Od 1.12.2011 jsou účinné zákony upra</w:t>
      </w:r>
      <w:r w:rsidR="00FC4A53">
        <w:t>v</w:t>
      </w:r>
      <w:r>
        <w:t xml:space="preserve">ující první fázi reformy českého zdravotnictví. </w:t>
      </w:r>
      <w:r w:rsidR="00FC4A53">
        <w:t xml:space="preserve">Většina opatření se týká organizačních aspektů vedoucích k vyšší efektivitě současného zdravotnického systému, ale zavádí se i ekonomicky náročnější varianta zdravotní péče, která </w:t>
      </w:r>
      <w:r w:rsidR="000E2A55">
        <w:t xml:space="preserve">nemusí být hrazena ze zdrojů veřejného zdravotního pojištění a </w:t>
      </w:r>
      <w:r w:rsidR="00FC4A53">
        <w:t xml:space="preserve">může být </w:t>
      </w:r>
      <w:r w:rsidR="000E2A55">
        <w:t xml:space="preserve">pokryta pojistnými produkty. </w:t>
      </w:r>
      <w:r w:rsidR="000F227B" w:rsidRPr="000F227B">
        <w:t xml:space="preserve">Česká společnost aktuárů sleduje </w:t>
      </w:r>
      <w:r w:rsidR="000F227B">
        <w:t xml:space="preserve">tento </w:t>
      </w:r>
      <w:r w:rsidR="000F227B" w:rsidRPr="000F227B">
        <w:t xml:space="preserve">vývoj zdravotní reformy a má zájem na ovlivňování </w:t>
      </w:r>
      <w:r w:rsidR="000F227B">
        <w:t>definice těchto tzv. nads</w:t>
      </w:r>
      <w:r w:rsidR="00AC677E">
        <w:t>t</w:t>
      </w:r>
      <w:r w:rsidR="000F227B">
        <w:t xml:space="preserve">andardů vzhledem k úzké návaznosti na aktuárská </w:t>
      </w:r>
      <w:r w:rsidR="000F227B" w:rsidRPr="000F227B">
        <w:t>témat</w:t>
      </w:r>
      <w:r w:rsidR="000F227B">
        <w:t>a,</w:t>
      </w:r>
      <w:r w:rsidR="000F227B" w:rsidRPr="000F227B">
        <w:t xml:space="preserve"> například stanovení pojistného podle rizik</w:t>
      </w:r>
      <w:r w:rsidR="000F227B">
        <w:t>a</w:t>
      </w:r>
      <w:r w:rsidR="000F227B" w:rsidRPr="000F227B">
        <w:t>.</w:t>
      </w:r>
    </w:p>
    <w:p w:rsidR="000C5C3E" w:rsidRDefault="000C5C3E" w:rsidP="000C5C3E">
      <w:pPr>
        <w:pStyle w:val="BodyText"/>
        <w:spacing w:after="120"/>
      </w:pPr>
    </w:p>
    <w:p w:rsidR="00283426" w:rsidRPr="00DB0E99" w:rsidRDefault="00AC677E" w:rsidP="00283426">
      <w:pPr>
        <w:pStyle w:val="BodyText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Hlavní úkoly pro příští období</w:t>
      </w:r>
    </w:p>
    <w:p w:rsidR="00AC677E" w:rsidRDefault="00AC677E" w:rsidP="00283426">
      <w:pPr>
        <w:pStyle w:val="BodyText"/>
        <w:spacing w:after="120"/>
      </w:pPr>
      <w:r>
        <w:t>Pro příští období Výbor nenavrhuje významné změny priorit činnosti ČSpA</w:t>
      </w:r>
      <w:r w:rsidR="00283426" w:rsidRPr="00DB0E99">
        <w:t>.</w:t>
      </w:r>
      <w:r>
        <w:t xml:space="preserve"> Za základní priority nadále považujeme vzdělávání a implementaci Solventnosti II, konkrétně:</w:t>
      </w:r>
    </w:p>
    <w:p w:rsidR="00AC677E" w:rsidRDefault="00AC677E" w:rsidP="00AC677E">
      <w:pPr>
        <w:pStyle w:val="BodyText"/>
        <w:numPr>
          <w:ilvl w:val="0"/>
          <w:numId w:val="18"/>
        </w:numPr>
        <w:spacing w:after="120"/>
      </w:pPr>
      <w:r>
        <w:t xml:space="preserve">Podpora aktuárského vzdělávání na </w:t>
      </w:r>
      <w:r w:rsidR="00183259">
        <w:t xml:space="preserve">MFF a dalších </w:t>
      </w:r>
      <w:r>
        <w:t>vysokých školách.</w:t>
      </w:r>
    </w:p>
    <w:p w:rsidR="00AC677E" w:rsidRDefault="00AC677E" w:rsidP="00AC677E">
      <w:pPr>
        <w:pStyle w:val="BodyText"/>
        <w:numPr>
          <w:ilvl w:val="0"/>
          <w:numId w:val="18"/>
        </w:numPr>
        <w:spacing w:after="120"/>
      </w:pPr>
      <w:r>
        <w:t xml:space="preserve">Organizace </w:t>
      </w:r>
      <w:r w:rsidR="00183259">
        <w:t xml:space="preserve">jednorázových </w:t>
      </w:r>
      <w:r>
        <w:t xml:space="preserve">vzdělávacích </w:t>
      </w:r>
      <w:r w:rsidR="00183259">
        <w:t>akcí.</w:t>
      </w:r>
    </w:p>
    <w:p w:rsidR="00183259" w:rsidRDefault="00183259" w:rsidP="00AC677E">
      <w:pPr>
        <w:pStyle w:val="BodyText"/>
        <w:numPr>
          <w:ilvl w:val="0"/>
          <w:numId w:val="18"/>
        </w:numPr>
        <w:spacing w:after="120"/>
      </w:pPr>
      <w:r>
        <w:t>Zakotvení role aktuárů v novém regulator</w:t>
      </w:r>
      <w:r w:rsidR="00C802CA">
        <w:t>n</w:t>
      </w:r>
      <w:r>
        <w:t>ím režimu.</w:t>
      </w:r>
    </w:p>
    <w:p w:rsidR="00183259" w:rsidRDefault="00183259" w:rsidP="00AC677E">
      <w:pPr>
        <w:pStyle w:val="BodyText"/>
        <w:numPr>
          <w:ilvl w:val="0"/>
          <w:numId w:val="18"/>
        </w:numPr>
        <w:spacing w:after="120"/>
      </w:pPr>
      <w:r>
        <w:t>Nastavení parametrů a standardů v rámci Solventnosti II.</w:t>
      </w:r>
    </w:p>
    <w:p w:rsidR="00AC677E" w:rsidRDefault="00183259" w:rsidP="00283426">
      <w:pPr>
        <w:pStyle w:val="BodyText"/>
        <w:spacing w:after="120"/>
      </w:pPr>
      <w:r>
        <w:t>V této souvislosti bude dále potřeba provést revizi vnitřních směrnic ČSpA.</w:t>
      </w:r>
    </w:p>
    <w:p w:rsidR="00283426" w:rsidRDefault="00AC677E" w:rsidP="00283426">
      <w:pPr>
        <w:pStyle w:val="BodyText"/>
        <w:spacing w:after="120"/>
      </w:pPr>
      <w:r>
        <w:t>Chtěli bychom dosáhnout posunu v širším zapojení členů do aktivní činnosti v rámci společnosti.</w:t>
      </w:r>
    </w:p>
    <w:p w:rsidR="00AC677E" w:rsidRPr="00DB0E99" w:rsidRDefault="00AC677E" w:rsidP="00283426">
      <w:pPr>
        <w:pStyle w:val="BodyText"/>
        <w:spacing w:after="120"/>
      </w:pPr>
    </w:p>
    <w:p w:rsidR="0008689D" w:rsidRPr="00DB0E99" w:rsidRDefault="0008689D">
      <w:pPr>
        <w:pStyle w:val="BodyText"/>
      </w:pPr>
    </w:p>
    <w:p w:rsidR="0008689D" w:rsidRPr="00DB0E99" w:rsidRDefault="00183259">
      <w:pPr>
        <w:pStyle w:val="BodyText"/>
      </w:pPr>
      <w:r>
        <w:t>Petr Bohumský</w:t>
      </w:r>
    </w:p>
    <w:p w:rsidR="00183259" w:rsidRDefault="00183259">
      <w:pPr>
        <w:pStyle w:val="BodyText"/>
      </w:pPr>
      <w:r>
        <w:t>za Výbor společnosti</w:t>
      </w:r>
    </w:p>
    <w:p w:rsidR="0008689D" w:rsidRPr="00DB0E99" w:rsidRDefault="0008689D">
      <w:pPr>
        <w:pStyle w:val="BodyText"/>
      </w:pPr>
      <w:r w:rsidRPr="00DB0E99">
        <w:t>1</w:t>
      </w:r>
      <w:r w:rsidR="00183259">
        <w:t>3. prosince 2011</w:t>
      </w:r>
    </w:p>
    <w:sectPr w:rsidR="0008689D" w:rsidRPr="00DB0E99" w:rsidSect="00590791">
      <w:headerReference w:type="default" r:id="rId8"/>
      <w:footerReference w:type="default" r:id="rId9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A8" w:rsidRDefault="00043BA8">
      <w:r>
        <w:separator/>
      </w:r>
    </w:p>
  </w:endnote>
  <w:endnote w:type="continuationSeparator" w:id="0">
    <w:p w:rsidR="00043BA8" w:rsidRDefault="0004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E">
    <w:charset w:val="EE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EF" w:rsidRDefault="00BE25EF">
    <w:pPr>
      <w:pStyle w:val="Footer"/>
    </w:pPr>
    <w:r>
      <w:t xml:space="preserve">Strana </w:t>
    </w:r>
    <w:fldSimple w:instr=" PAGE ">
      <w:r w:rsidR="00C802CA">
        <w:rPr>
          <w:noProof/>
        </w:rPr>
        <w:t>4</w:t>
      </w:r>
    </w:fldSimple>
    <w:r>
      <w:t xml:space="preserve"> (celkem </w:t>
    </w:r>
    <w:fldSimple w:instr=" NUMPAGES ">
      <w:r w:rsidR="00C802CA">
        <w:rPr>
          <w:noProof/>
        </w:rPr>
        <w:t>4</w:t>
      </w:r>
    </w:fldSimple>
    <w:r>
      <w:t>)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A8" w:rsidRDefault="00043BA8">
      <w:r>
        <w:separator/>
      </w:r>
    </w:p>
  </w:footnote>
  <w:footnote w:type="continuationSeparator" w:id="0">
    <w:p w:rsidR="00043BA8" w:rsidRDefault="0004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EF" w:rsidRDefault="00BE2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87B0179"/>
    <w:multiLevelType w:val="hybridMultilevel"/>
    <w:tmpl w:val="94A0491A"/>
    <w:lvl w:ilvl="0" w:tplc="F66C57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9223B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3048BF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272F9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722D0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4468F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D8E1B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E286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E5C5D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C083EED"/>
    <w:multiLevelType w:val="hybridMultilevel"/>
    <w:tmpl w:val="EB1ACB7C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03E6"/>
    <w:multiLevelType w:val="hybridMultilevel"/>
    <w:tmpl w:val="273EED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AAC6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0CB6D94"/>
    <w:multiLevelType w:val="hybridMultilevel"/>
    <w:tmpl w:val="F5045C3C"/>
    <w:lvl w:ilvl="0" w:tplc="9F145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06CB"/>
    <w:multiLevelType w:val="hybridMultilevel"/>
    <w:tmpl w:val="76FC0350"/>
    <w:lvl w:ilvl="0" w:tplc="F4261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87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282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0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63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FE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A2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C4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50F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76EC7"/>
    <w:multiLevelType w:val="hybridMultilevel"/>
    <w:tmpl w:val="144AA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C6FABA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3D48809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CDA84C2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2941B70"/>
    <w:multiLevelType w:val="hybridMultilevel"/>
    <w:tmpl w:val="EDD46ADC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0442F"/>
    <w:multiLevelType w:val="singleLevel"/>
    <w:tmpl w:val="772C5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960F71"/>
    <w:multiLevelType w:val="hybridMultilevel"/>
    <w:tmpl w:val="BBCAC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43CA1"/>
    <w:multiLevelType w:val="singleLevel"/>
    <w:tmpl w:val="490CB00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4E1B335D"/>
    <w:multiLevelType w:val="hybridMultilevel"/>
    <w:tmpl w:val="5E763A56"/>
    <w:lvl w:ilvl="0" w:tplc="E40A0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F670C"/>
    <w:multiLevelType w:val="hybridMultilevel"/>
    <w:tmpl w:val="6DE09290"/>
    <w:lvl w:ilvl="0" w:tplc="0F3A6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609B9"/>
    <w:multiLevelType w:val="singleLevel"/>
    <w:tmpl w:val="60B0B5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66A044FA"/>
    <w:multiLevelType w:val="hybridMultilevel"/>
    <w:tmpl w:val="839ECC70"/>
    <w:lvl w:ilvl="0" w:tplc="1CAA1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0EA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BAA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C5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87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EC3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8B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21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128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F49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7015C0"/>
    <w:multiLevelType w:val="hybridMultilevel"/>
    <w:tmpl w:val="212C1890"/>
    <w:lvl w:ilvl="0" w:tplc="D7DEEDA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cs="Times New Roman" w:hint="default"/>
        <w:color w:val="auto"/>
      </w:rPr>
    </w:lvl>
    <w:lvl w:ilvl="1" w:tplc="970E6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C84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54D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54E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763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AAE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68B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24B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1849EF"/>
    <w:multiLevelType w:val="hybridMultilevel"/>
    <w:tmpl w:val="5862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7B2D76"/>
    <w:multiLevelType w:val="hybridMultilevel"/>
    <w:tmpl w:val="A816F180"/>
    <w:lvl w:ilvl="0" w:tplc="501830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4FAF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EC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83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C7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005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CF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C6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108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3">
    <w:abstractNumId w:val="10"/>
  </w:num>
  <w:num w:numId="4">
    <w:abstractNumId w:val="16"/>
  </w:num>
  <w:num w:numId="5">
    <w:abstractNumId w:val="1"/>
  </w:num>
  <w:num w:numId="6">
    <w:abstractNumId w:val="18"/>
  </w:num>
  <w:num w:numId="7">
    <w:abstractNumId w:val="15"/>
  </w:num>
  <w:num w:numId="8">
    <w:abstractNumId w:val="14"/>
  </w:num>
  <w:num w:numId="9">
    <w:abstractNumId w:val="5"/>
  </w:num>
  <w:num w:numId="10">
    <w:abstractNumId w:val="9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11"/>
  </w:num>
  <w:num w:numId="16">
    <w:abstractNumId w:val="4"/>
  </w:num>
  <w:num w:numId="17">
    <w:abstractNumId w:val="0"/>
  </w:num>
  <w:num w:numId="18">
    <w:abstractNumId w:val="7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129"/>
    <w:rsid w:val="00004640"/>
    <w:rsid w:val="00043BA8"/>
    <w:rsid w:val="00045B97"/>
    <w:rsid w:val="0005391F"/>
    <w:rsid w:val="00056118"/>
    <w:rsid w:val="000616E0"/>
    <w:rsid w:val="000621A8"/>
    <w:rsid w:val="00075E18"/>
    <w:rsid w:val="0008689D"/>
    <w:rsid w:val="000A2152"/>
    <w:rsid w:val="000A2F36"/>
    <w:rsid w:val="000A335A"/>
    <w:rsid w:val="000A3CC3"/>
    <w:rsid w:val="000B214D"/>
    <w:rsid w:val="000C2CE9"/>
    <w:rsid w:val="000C5C3E"/>
    <w:rsid w:val="000D4875"/>
    <w:rsid w:val="000E2A55"/>
    <w:rsid w:val="000E74E3"/>
    <w:rsid w:val="000F167A"/>
    <w:rsid w:val="000F227B"/>
    <w:rsid w:val="000F2DC4"/>
    <w:rsid w:val="000F6918"/>
    <w:rsid w:val="00100E14"/>
    <w:rsid w:val="001019C6"/>
    <w:rsid w:val="001062DF"/>
    <w:rsid w:val="00110A73"/>
    <w:rsid w:val="001247FC"/>
    <w:rsid w:val="00136B1F"/>
    <w:rsid w:val="00144391"/>
    <w:rsid w:val="00154573"/>
    <w:rsid w:val="001626A8"/>
    <w:rsid w:val="00165C8F"/>
    <w:rsid w:val="00170B73"/>
    <w:rsid w:val="00182AAA"/>
    <w:rsid w:val="00183259"/>
    <w:rsid w:val="001A70DD"/>
    <w:rsid w:val="001B450F"/>
    <w:rsid w:val="001C3A1C"/>
    <w:rsid w:val="001D0B63"/>
    <w:rsid w:val="001E0145"/>
    <w:rsid w:val="001F0CF3"/>
    <w:rsid w:val="00204343"/>
    <w:rsid w:val="00222C95"/>
    <w:rsid w:val="00227254"/>
    <w:rsid w:val="0024021F"/>
    <w:rsid w:val="00241844"/>
    <w:rsid w:val="002449AF"/>
    <w:rsid w:val="0025131A"/>
    <w:rsid w:val="00254276"/>
    <w:rsid w:val="00264893"/>
    <w:rsid w:val="00265792"/>
    <w:rsid w:val="00270924"/>
    <w:rsid w:val="002735D2"/>
    <w:rsid w:val="00283426"/>
    <w:rsid w:val="00285BBF"/>
    <w:rsid w:val="00290A7E"/>
    <w:rsid w:val="0029567B"/>
    <w:rsid w:val="00297708"/>
    <w:rsid w:val="002A7AAB"/>
    <w:rsid w:val="002A7EE9"/>
    <w:rsid w:val="002B0FF5"/>
    <w:rsid w:val="002C0FA0"/>
    <w:rsid w:val="002C5331"/>
    <w:rsid w:val="002F10ED"/>
    <w:rsid w:val="003000B9"/>
    <w:rsid w:val="00300F64"/>
    <w:rsid w:val="003020B4"/>
    <w:rsid w:val="0032273D"/>
    <w:rsid w:val="00325458"/>
    <w:rsid w:val="003474E9"/>
    <w:rsid w:val="00356CDA"/>
    <w:rsid w:val="003626C0"/>
    <w:rsid w:val="00374345"/>
    <w:rsid w:val="00375BFC"/>
    <w:rsid w:val="003840C7"/>
    <w:rsid w:val="003875BC"/>
    <w:rsid w:val="00387EF3"/>
    <w:rsid w:val="003B05B0"/>
    <w:rsid w:val="003C0B79"/>
    <w:rsid w:val="003C26DC"/>
    <w:rsid w:val="003C5EFC"/>
    <w:rsid w:val="003E6BCF"/>
    <w:rsid w:val="004053F8"/>
    <w:rsid w:val="004246CE"/>
    <w:rsid w:val="0042583E"/>
    <w:rsid w:val="00437F22"/>
    <w:rsid w:val="00441C7B"/>
    <w:rsid w:val="00443F5A"/>
    <w:rsid w:val="0044571A"/>
    <w:rsid w:val="00446938"/>
    <w:rsid w:val="0045297E"/>
    <w:rsid w:val="00452FEF"/>
    <w:rsid w:val="00466875"/>
    <w:rsid w:val="0047097D"/>
    <w:rsid w:val="00475646"/>
    <w:rsid w:val="00475795"/>
    <w:rsid w:val="004821D4"/>
    <w:rsid w:val="00493511"/>
    <w:rsid w:val="00494FAF"/>
    <w:rsid w:val="004A2056"/>
    <w:rsid w:val="004C24F2"/>
    <w:rsid w:val="004C495C"/>
    <w:rsid w:val="004C68B6"/>
    <w:rsid w:val="004E02E4"/>
    <w:rsid w:val="004E2892"/>
    <w:rsid w:val="004E4AE2"/>
    <w:rsid w:val="004F0A52"/>
    <w:rsid w:val="00503AC3"/>
    <w:rsid w:val="00515C9C"/>
    <w:rsid w:val="005200EE"/>
    <w:rsid w:val="005240DC"/>
    <w:rsid w:val="00540E50"/>
    <w:rsid w:val="00550BDD"/>
    <w:rsid w:val="00565A71"/>
    <w:rsid w:val="00571A34"/>
    <w:rsid w:val="00581E51"/>
    <w:rsid w:val="00590791"/>
    <w:rsid w:val="005A4E37"/>
    <w:rsid w:val="005B5AAC"/>
    <w:rsid w:val="005C4CC1"/>
    <w:rsid w:val="005D5A4D"/>
    <w:rsid w:val="005D6DBE"/>
    <w:rsid w:val="005F4F12"/>
    <w:rsid w:val="00610CCE"/>
    <w:rsid w:val="006221AB"/>
    <w:rsid w:val="00631B1E"/>
    <w:rsid w:val="00632137"/>
    <w:rsid w:val="00632577"/>
    <w:rsid w:val="00632AF1"/>
    <w:rsid w:val="006402EB"/>
    <w:rsid w:val="00644F4B"/>
    <w:rsid w:val="00651C1B"/>
    <w:rsid w:val="00670450"/>
    <w:rsid w:val="00683CD1"/>
    <w:rsid w:val="00690D84"/>
    <w:rsid w:val="00697A00"/>
    <w:rsid w:val="006B4098"/>
    <w:rsid w:val="006B4EEF"/>
    <w:rsid w:val="006B6BFF"/>
    <w:rsid w:val="006C2319"/>
    <w:rsid w:val="006D314A"/>
    <w:rsid w:val="006D496D"/>
    <w:rsid w:val="006D5F43"/>
    <w:rsid w:val="006F24D4"/>
    <w:rsid w:val="006F62E9"/>
    <w:rsid w:val="00702B7A"/>
    <w:rsid w:val="00704F12"/>
    <w:rsid w:val="0073162E"/>
    <w:rsid w:val="007345B8"/>
    <w:rsid w:val="00763F0E"/>
    <w:rsid w:val="00777570"/>
    <w:rsid w:val="007A024E"/>
    <w:rsid w:val="007A0DA2"/>
    <w:rsid w:val="007A3A68"/>
    <w:rsid w:val="007C0881"/>
    <w:rsid w:val="007D4E95"/>
    <w:rsid w:val="007D72E2"/>
    <w:rsid w:val="007E0652"/>
    <w:rsid w:val="007F139C"/>
    <w:rsid w:val="007F7A37"/>
    <w:rsid w:val="008007A2"/>
    <w:rsid w:val="00800B9F"/>
    <w:rsid w:val="0080571B"/>
    <w:rsid w:val="00815DD3"/>
    <w:rsid w:val="008171AF"/>
    <w:rsid w:val="008237A4"/>
    <w:rsid w:val="00832641"/>
    <w:rsid w:val="00844EBB"/>
    <w:rsid w:val="00870B25"/>
    <w:rsid w:val="00873E6F"/>
    <w:rsid w:val="0088343D"/>
    <w:rsid w:val="00885D0D"/>
    <w:rsid w:val="00890272"/>
    <w:rsid w:val="00897676"/>
    <w:rsid w:val="008A1AFF"/>
    <w:rsid w:val="008B001D"/>
    <w:rsid w:val="008C0D72"/>
    <w:rsid w:val="008C1949"/>
    <w:rsid w:val="008C31D7"/>
    <w:rsid w:val="008C667F"/>
    <w:rsid w:val="008D324B"/>
    <w:rsid w:val="008D7D93"/>
    <w:rsid w:val="008F24F4"/>
    <w:rsid w:val="009149E0"/>
    <w:rsid w:val="00922235"/>
    <w:rsid w:val="009303A5"/>
    <w:rsid w:val="00931ADB"/>
    <w:rsid w:val="00933E90"/>
    <w:rsid w:val="00935312"/>
    <w:rsid w:val="00940D82"/>
    <w:rsid w:val="009634B5"/>
    <w:rsid w:val="00970A21"/>
    <w:rsid w:val="00977124"/>
    <w:rsid w:val="00981C48"/>
    <w:rsid w:val="00985C8E"/>
    <w:rsid w:val="009979C5"/>
    <w:rsid w:val="009B1F83"/>
    <w:rsid w:val="009B436B"/>
    <w:rsid w:val="009C1F22"/>
    <w:rsid w:val="009C27E2"/>
    <w:rsid w:val="009E1BE0"/>
    <w:rsid w:val="009F3DCA"/>
    <w:rsid w:val="00A00CA3"/>
    <w:rsid w:val="00A01E37"/>
    <w:rsid w:val="00A1008E"/>
    <w:rsid w:val="00A32E85"/>
    <w:rsid w:val="00A5177C"/>
    <w:rsid w:val="00A553D4"/>
    <w:rsid w:val="00A62C0D"/>
    <w:rsid w:val="00A6687F"/>
    <w:rsid w:val="00A723E6"/>
    <w:rsid w:val="00A75FB3"/>
    <w:rsid w:val="00A91047"/>
    <w:rsid w:val="00A9501B"/>
    <w:rsid w:val="00AA69BF"/>
    <w:rsid w:val="00AB161C"/>
    <w:rsid w:val="00AB670C"/>
    <w:rsid w:val="00AC479A"/>
    <w:rsid w:val="00AC5F22"/>
    <w:rsid w:val="00AC677E"/>
    <w:rsid w:val="00AD220E"/>
    <w:rsid w:val="00AD22A1"/>
    <w:rsid w:val="00AE202F"/>
    <w:rsid w:val="00AE4B1B"/>
    <w:rsid w:val="00AE5707"/>
    <w:rsid w:val="00AE6F22"/>
    <w:rsid w:val="00AF6F31"/>
    <w:rsid w:val="00AF7A98"/>
    <w:rsid w:val="00B05AD3"/>
    <w:rsid w:val="00B10C5F"/>
    <w:rsid w:val="00B10F9C"/>
    <w:rsid w:val="00B1404A"/>
    <w:rsid w:val="00B15524"/>
    <w:rsid w:val="00B164CB"/>
    <w:rsid w:val="00B165F3"/>
    <w:rsid w:val="00B23F23"/>
    <w:rsid w:val="00B30EF4"/>
    <w:rsid w:val="00B429D3"/>
    <w:rsid w:val="00B470E2"/>
    <w:rsid w:val="00B55330"/>
    <w:rsid w:val="00B773CC"/>
    <w:rsid w:val="00BA0B02"/>
    <w:rsid w:val="00BA7DB4"/>
    <w:rsid w:val="00BB4FAE"/>
    <w:rsid w:val="00BB6101"/>
    <w:rsid w:val="00BC5723"/>
    <w:rsid w:val="00BE25EF"/>
    <w:rsid w:val="00BE48CE"/>
    <w:rsid w:val="00BE6BA3"/>
    <w:rsid w:val="00BF324A"/>
    <w:rsid w:val="00C01449"/>
    <w:rsid w:val="00C0268C"/>
    <w:rsid w:val="00C108AD"/>
    <w:rsid w:val="00C269C4"/>
    <w:rsid w:val="00C30A18"/>
    <w:rsid w:val="00C34D40"/>
    <w:rsid w:val="00C402FC"/>
    <w:rsid w:val="00C47E3B"/>
    <w:rsid w:val="00C70086"/>
    <w:rsid w:val="00C72FE8"/>
    <w:rsid w:val="00C74CB9"/>
    <w:rsid w:val="00C77BE5"/>
    <w:rsid w:val="00C802CA"/>
    <w:rsid w:val="00C86AB8"/>
    <w:rsid w:val="00C928DC"/>
    <w:rsid w:val="00CB4D44"/>
    <w:rsid w:val="00CB78E6"/>
    <w:rsid w:val="00CC20FE"/>
    <w:rsid w:val="00CD5ABA"/>
    <w:rsid w:val="00CF038D"/>
    <w:rsid w:val="00CF14E7"/>
    <w:rsid w:val="00CF51CA"/>
    <w:rsid w:val="00CF7F82"/>
    <w:rsid w:val="00D00010"/>
    <w:rsid w:val="00D02A4C"/>
    <w:rsid w:val="00D056AA"/>
    <w:rsid w:val="00D12E6F"/>
    <w:rsid w:val="00D143BD"/>
    <w:rsid w:val="00D148CD"/>
    <w:rsid w:val="00D17621"/>
    <w:rsid w:val="00D55129"/>
    <w:rsid w:val="00D60849"/>
    <w:rsid w:val="00D63261"/>
    <w:rsid w:val="00D66360"/>
    <w:rsid w:val="00DA09DD"/>
    <w:rsid w:val="00DB0E99"/>
    <w:rsid w:val="00DB25DD"/>
    <w:rsid w:val="00DB6C06"/>
    <w:rsid w:val="00DB6D7B"/>
    <w:rsid w:val="00DC1041"/>
    <w:rsid w:val="00DE5B56"/>
    <w:rsid w:val="00E14FF0"/>
    <w:rsid w:val="00E17561"/>
    <w:rsid w:val="00E47D37"/>
    <w:rsid w:val="00E513F1"/>
    <w:rsid w:val="00E51815"/>
    <w:rsid w:val="00E623A6"/>
    <w:rsid w:val="00E65F75"/>
    <w:rsid w:val="00E77B3F"/>
    <w:rsid w:val="00E869D8"/>
    <w:rsid w:val="00EC0FC2"/>
    <w:rsid w:val="00EC5805"/>
    <w:rsid w:val="00ED6E8D"/>
    <w:rsid w:val="00EE03DD"/>
    <w:rsid w:val="00EE2CCE"/>
    <w:rsid w:val="00EE561F"/>
    <w:rsid w:val="00EF2422"/>
    <w:rsid w:val="00EF3766"/>
    <w:rsid w:val="00F17B86"/>
    <w:rsid w:val="00F22289"/>
    <w:rsid w:val="00F31EAD"/>
    <w:rsid w:val="00F412AC"/>
    <w:rsid w:val="00F45016"/>
    <w:rsid w:val="00F551B8"/>
    <w:rsid w:val="00F611A2"/>
    <w:rsid w:val="00F760A8"/>
    <w:rsid w:val="00F84052"/>
    <w:rsid w:val="00F85E81"/>
    <w:rsid w:val="00F966A5"/>
    <w:rsid w:val="00FC4A53"/>
    <w:rsid w:val="00FC4D88"/>
    <w:rsid w:val="00FD1356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9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7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791"/>
    <w:pPr>
      <w:keepNext/>
      <w:spacing w:line="360" w:lineRule="auto"/>
      <w:ind w:left="454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F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FA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90791"/>
    <w:pPr>
      <w:spacing w:before="12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96F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907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9079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907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FA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907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FA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79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7124"/>
    <w:rPr>
      <w:rFonts w:cs="Times New Roman"/>
      <w:sz w:val="24"/>
      <w:szCs w:val="24"/>
      <w:lang w:val="cs-CZ" w:eastAsia="cs-CZ"/>
    </w:rPr>
  </w:style>
  <w:style w:type="paragraph" w:styleId="BodyTextIndent">
    <w:name w:val="Body Text Indent"/>
    <w:basedOn w:val="Normal"/>
    <w:link w:val="BodyTextIndentChar"/>
    <w:uiPriority w:val="99"/>
    <w:rsid w:val="00590791"/>
    <w:pPr>
      <w:overflowPunct/>
      <w:autoSpaceDE/>
      <w:autoSpaceDN/>
      <w:adjustRightInd/>
      <w:ind w:left="720"/>
      <w:textAlignment w:val="auto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6FA2"/>
    <w:rPr>
      <w:sz w:val="20"/>
      <w:szCs w:val="20"/>
    </w:rPr>
  </w:style>
  <w:style w:type="paragraph" w:customStyle="1" w:styleId="Text">
    <w:name w:val="Text"/>
    <w:uiPriority w:val="99"/>
    <w:rsid w:val="00590791"/>
    <w:pPr>
      <w:spacing w:after="120" w:line="240" w:lineRule="exact"/>
      <w:ind w:firstLine="238"/>
      <w:jc w:val="both"/>
    </w:pPr>
    <w:rPr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59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A2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59079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513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2043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434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04343"/>
    <w:rPr>
      <w:rFonts w:cs="Times New Roman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04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04343"/>
    <w:rPr>
      <w:b/>
      <w:bCs/>
    </w:rPr>
  </w:style>
  <w:style w:type="paragraph" w:customStyle="1" w:styleId="Pa0">
    <w:name w:val="Pa0"/>
    <w:basedOn w:val="Normal"/>
    <w:next w:val="Normal"/>
    <w:uiPriority w:val="99"/>
    <w:rsid w:val="00264893"/>
    <w:pPr>
      <w:overflowPunct/>
      <w:spacing w:line="241" w:lineRule="atLeast"/>
      <w:textAlignment w:val="auto"/>
    </w:pPr>
    <w:rPr>
      <w:rFonts w:ascii="Univers CE" w:hAnsi="Univers CE"/>
      <w:sz w:val="24"/>
      <w:szCs w:val="24"/>
      <w:lang w:val="en-US" w:eastAsia="en-US"/>
    </w:rPr>
  </w:style>
  <w:style w:type="character" w:customStyle="1" w:styleId="A1">
    <w:name w:val="A1"/>
    <w:uiPriority w:val="99"/>
    <w:rsid w:val="00264893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DC1041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1041"/>
    <w:rPr>
      <w:rFonts w:ascii="Consolas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2C5331"/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1483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Mila Jajo, jak uz ti jiste Mandl rikal, 1</vt:lpstr>
    </vt:vector>
  </TitlesOfParts>
  <Company>MPSV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 Jajo, jak uz ti jiste Mandl rikal, 1</dc:title>
  <dc:creator>MPSV</dc:creator>
  <cp:lastModifiedBy>bohumsky</cp:lastModifiedBy>
  <cp:revision>27</cp:revision>
  <cp:lastPrinted>2010-12-14T12:37:00Z</cp:lastPrinted>
  <dcterms:created xsi:type="dcterms:W3CDTF">2011-12-09T09:31:00Z</dcterms:created>
  <dcterms:modified xsi:type="dcterms:W3CDTF">2011-12-12T20:32:00Z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