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5"/>
        <w:tblW w:w="5000" w:type="pct"/>
        <w:tblLayout w:type="fixed"/>
        <w:tblLook w:val="01E0" w:firstRow="1" w:lastRow="1" w:firstColumn="1" w:lastColumn="1" w:noHBand="0" w:noVBand="0"/>
      </w:tblPr>
      <w:tblGrid>
        <w:gridCol w:w="817"/>
        <w:gridCol w:w="4535"/>
        <w:gridCol w:w="1703"/>
        <w:gridCol w:w="2409"/>
        <w:gridCol w:w="3758"/>
      </w:tblGrid>
      <w:tr w:rsidR="001626DC" w:rsidRPr="00DC3295" w14:paraId="08BECDC6" w14:textId="77777777" w:rsidTr="00965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3632D79" w14:textId="77777777" w:rsidR="001626DC" w:rsidRPr="00DC3295" w:rsidRDefault="001626DC" w:rsidP="00070DD0">
            <w:pPr>
              <w:spacing w:before="120" w:after="120"/>
              <w:ind w:right="-108"/>
              <w:jc w:val="center"/>
              <w:rPr>
                <w:rFonts w:ascii="Verdana" w:hAnsi="Verdana"/>
                <w:bCs w:val="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oddíl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ED46A9A" w14:textId="77777777" w:rsidR="001626DC" w:rsidRPr="00DC3295" w:rsidRDefault="001626DC" w:rsidP="00070DD0">
            <w:pPr>
              <w:spacing w:before="120" w:after="120"/>
              <w:jc w:val="center"/>
              <w:rPr>
                <w:rFonts w:ascii="Verdana" w:hAnsi="Verdana"/>
                <w:bCs w:val="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Text směrnice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60A624B" w14:textId="77777777" w:rsidR="001626DC" w:rsidRPr="00DC3295" w:rsidRDefault="001626DC" w:rsidP="00070DD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Legislativní podklad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769DAF9" w14:textId="77777777" w:rsidR="001626DC" w:rsidRPr="00DC3295" w:rsidRDefault="001626DC" w:rsidP="001626DC">
            <w:pPr>
              <w:spacing w:before="120" w:after="120"/>
              <w:jc w:val="center"/>
              <w:rPr>
                <w:rFonts w:ascii="Verdana" w:hAnsi="Verdana"/>
                <w:bCs w:val="0"/>
                <w:sz w:val="20"/>
                <w:szCs w:val="20"/>
                <w:lang w:val="cs-CZ"/>
              </w:rPr>
            </w:pPr>
            <w:proofErr w:type="gramStart"/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Vysvětlení</w:t>
            </w:r>
            <w:proofErr w:type="gramEnd"/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 xml:space="preserve"> </w:t>
            </w:r>
            <w:r w:rsidR="00B943BD"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–</w:t>
            </w:r>
            <w:proofErr w:type="gramStart"/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odůvodnění</w:t>
            </w:r>
            <w:proofErr w:type="gramEnd"/>
            <w:r w:rsidR="00B943BD"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 xml:space="preserve"> (důvodová zpráva)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3024286" w14:textId="77777777" w:rsidR="001626DC" w:rsidRPr="00DC3295" w:rsidRDefault="001626DC" w:rsidP="00070DD0">
            <w:pPr>
              <w:spacing w:before="120" w:after="120"/>
              <w:jc w:val="center"/>
              <w:rPr>
                <w:rFonts w:ascii="Verdana" w:hAnsi="Verdana"/>
                <w:bCs w:val="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 w:val="0"/>
                <w:sz w:val="20"/>
                <w:szCs w:val="20"/>
                <w:lang w:val="cs-CZ"/>
              </w:rPr>
              <w:t>Komentář</w:t>
            </w:r>
          </w:p>
        </w:tc>
      </w:tr>
      <w:tr w:rsidR="001626DC" w:rsidRPr="00DC3295" w14:paraId="50710A2F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1AE8D62A" w14:textId="77777777" w:rsidR="001626DC" w:rsidRPr="00DC3295" w:rsidRDefault="001626DC" w:rsidP="001626DC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716CBA53" w14:textId="77777777" w:rsidR="001626DC" w:rsidRPr="00DC3295" w:rsidRDefault="001626DC" w:rsidP="00C503E4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Úvod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7334F221" w14:textId="77777777" w:rsidR="001626DC" w:rsidRPr="00DC3295" w:rsidRDefault="001626DC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5139DAD7" w14:textId="77777777" w:rsidR="001626DC" w:rsidRPr="00DC3295" w:rsidRDefault="001626DC" w:rsidP="00B6316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338D57E0" w14:textId="77777777" w:rsidR="001626DC" w:rsidRPr="00DC3295" w:rsidRDefault="001626DC" w:rsidP="00B6316D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626DC" w:rsidRPr="00DC3295" w14:paraId="540E85B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BA096CD" w14:textId="77777777" w:rsidR="001626DC" w:rsidRPr="00DC3295" w:rsidRDefault="001626DC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AC5F542" w14:textId="091361A5" w:rsidR="001626DC" w:rsidRPr="00DC3295" w:rsidRDefault="001626DC" w:rsidP="00E46B62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Účelem této směrnice je poskytnout </w:t>
            </w:r>
            <w:proofErr w:type="spellStart"/>
            <w:r w:rsidR="00A13A3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aktuárům</w:t>
            </w:r>
            <w:proofErr w:type="spellEnd"/>
            <w:r w:rsidR="00A13A3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postup pro posouzení, zda výše</w:t>
            </w:r>
            <w:r w:rsidR="00654A8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účetních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654A8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technických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rezerv je postačitelná ke splnění závazků pojišťovny vyplývajících ze smluv neživotního pojištění („postačitelnost“). Směrnice je aktualizací předchozí směrnice</w:t>
            </w:r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ČSpA</w:t>
            </w:r>
            <w:proofErr w:type="spellEnd"/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gramStart"/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č.5,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platné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od roku 2005.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75EED6C" w14:textId="7C91B64A" w:rsidR="00654A8D" w:rsidRPr="00DC3295" w:rsidRDefault="00654A8D" w:rsidP="002C7106">
            <w:pPr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FC7193C" w14:textId="2A0C452E" w:rsidR="001626DC" w:rsidRPr="00DC3295" w:rsidRDefault="00EE6071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Odkaz na předchozí směrnici je uveden kvůli kontinuitě. IFRS 4 uvádí, že pokud pojistitel použije test přiměřenosti závazků, který splňuje určené minimální požadavky, IFRS 4 neukládá další požadavky.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C274754" w14:textId="77777777" w:rsidR="00BF7524" w:rsidRPr="00DC3295" w:rsidRDefault="00BF7524" w:rsidP="00DC3295">
            <w:p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Důvody vzniku</w:t>
            </w:r>
          </w:p>
          <w:p w14:paraId="69E845EB" w14:textId="6B105BB1" w:rsidR="00BF7524" w:rsidRPr="00DC3295" w:rsidRDefault="00BF7524" w:rsidP="00BF752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IFRS – test post</w:t>
            </w:r>
            <w:r w:rsidR="00DC3295"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ačitelnosti</w:t>
            </w:r>
          </w:p>
          <w:p w14:paraId="0ECF3180" w14:textId="77777777" w:rsidR="00BF7524" w:rsidRPr="00DC3295" w:rsidRDefault="00BF7524" w:rsidP="00BF752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lokální definice postačitelnosti</w:t>
            </w:r>
          </w:p>
          <w:p w14:paraId="041FD3D7" w14:textId="048B5D4A" w:rsidR="001626DC" w:rsidRPr="00DC3295" w:rsidRDefault="001626DC" w:rsidP="00BF7524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626DC" w:rsidRPr="00DC3295" w14:paraId="69D32E19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C2BC60B" w14:textId="069E1BB2" w:rsidR="001626DC" w:rsidRPr="00DC3295" w:rsidRDefault="001626DC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6597FAB" w14:textId="7F0FAD32" w:rsidR="001626DC" w:rsidRPr="00DC3295" w:rsidRDefault="001626DC" w:rsidP="00654A8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Směrnice je závazná pro plné členy České společnosti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aktuárů</w:t>
            </w:r>
            <w:proofErr w:type="spellEnd"/>
            <w:r w:rsidR="00B5618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(dále jen „</w:t>
            </w:r>
            <w:proofErr w:type="spellStart"/>
            <w:r w:rsidR="00B5618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aktuáry</w:t>
            </w:r>
            <w:proofErr w:type="spellEnd"/>
            <w:r w:rsidR="00B5618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“)</w:t>
            </w:r>
            <w:r w:rsidR="00654A8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2839DA2" w14:textId="6F2071D6" w:rsidR="008261AE" w:rsidRPr="00DC3295" w:rsidRDefault="00654A8D" w:rsidP="009C37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Vnitřně vůči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ČSpA</w:t>
            </w:r>
            <w:proofErr w:type="spellEnd"/>
            <w:r w:rsidR="009C372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 p</w:t>
            </w:r>
            <w:r w:rsidR="008261AE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řes SAP1 (1.43) se to vztahuje na celý tým</w:t>
            </w:r>
            <w:r w:rsidR="00EC54A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obsahující plného člena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E4339E0" w14:textId="77777777" w:rsidR="001626DC" w:rsidRPr="00DC3295" w:rsidRDefault="001626DC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410211D" w14:textId="17744131" w:rsidR="001626DC" w:rsidRPr="00DC3295" w:rsidRDefault="001626DC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1626DC" w:rsidRPr="00DC3295" w14:paraId="086FE600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659C69BE" w14:textId="77777777" w:rsidR="001626DC" w:rsidRPr="00DC3295" w:rsidRDefault="001626DC" w:rsidP="00230D22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3C91971C" w14:textId="61F5A92D" w:rsidR="001626DC" w:rsidRPr="00DC3295" w:rsidRDefault="006704EB" w:rsidP="00C503E4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Obecné principy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385ED507" w14:textId="77777777" w:rsidR="001626DC" w:rsidRPr="00DC3295" w:rsidRDefault="001626DC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291F4ECD" w14:textId="77777777" w:rsidR="001626DC" w:rsidRPr="00DC3295" w:rsidRDefault="001626DC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311EDF79" w14:textId="77777777" w:rsidR="001626DC" w:rsidRPr="00DC3295" w:rsidRDefault="001626DC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FA3F0D" w:rsidRPr="00DC3295" w14:paraId="72CC3338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A543F72" w14:textId="77777777" w:rsidR="00FA3F0D" w:rsidRPr="00DC3295" w:rsidRDefault="00FA3F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7EA94393" w14:textId="2C978E7C" w:rsidR="00B64994" w:rsidRPr="00DC3295" w:rsidRDefault="00FA3F0D" w:rsidP="00B55FCE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Směrnice respektuje požadavky na test postačitelnosti dle mezinárodního účetního standardu IFRS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4 pro pojistné smlouvy §15-19.</w:t>
            </w:r>
            <w:r w:rsidR="00D73D5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Zároveň bere v úvahu 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požadavek vyhlášky 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[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2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]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 dostatečnost výše technických rezerv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a požadavek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zákona </w:t>
            </w:r>
            <w:r w:rsidR="00542F1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</w:t>
            </w:r>
            <w:r w:rsidR="00B55FCE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pojištění odpovědnosti za škodu </w:t>
            </w:r>
            <w:r w:rsidR="00B55FCE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způsobenou provozem vozidla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  <w:r w:rsidR="005B00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5D12AD63" w14:textId="022F64BD" w:rsidR="00FA3F0D" w:rsidRPr="00DC3295" w:rsidRDefault="00FA3F0D" w:rsidP="00B55FCE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8A464DE" w14:textId="1B50FFAD" w:rsidR="003B1684" w:rsidRPr="00DC3295" w:rsidRDefault="00B55FCE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Požadavek na výši pojistného</w:t>
            </w:r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- viz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[4]</w:t>
            </w:r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D533C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§</w:t>
            </w:r>
            <w:r w:rsidR="00D533C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3b</w:t>
            </w:r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Požadavek</w:t>
            </w:r>
            <w:proofErr w:type="spellEnd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rezervy</w:t>
            </w:r>
            <w:proofErr w:type="spellEnd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4E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viz</w:t>
            </w:r>
            <w:proofErr w:type="spellEnd"/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[2] 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§</w:t>
            </w:r>
            <w:r w:rsidR="003B168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28</w:t>
            </w:r>
          </w:p>
          <w:p w14:paraId="309298EA" w14:textId="16FF9BAE" w:rsidR="00D533C3" w:rsidRPr="00DC3295" w:rsidRDefault="00D533C3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3011CB5" w14:textId="77777777" w:rsidR="00FA3F0D" w:rsidRPr="00DC3295" w:rsidRDefault="00FA3F0D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CB6FB1B" w14:textId="17EC419F" w:rsidR="00FA3F0D" w:rsidRPr="00DC3295" w:rsidRDefault="00FA3F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49F0370B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7D73497" w14:textId="2236D8D2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ACF2023" w14:textId="2AC358C8" w:rsidR="006A69D5" w:rsidRPr="00DC3295" w:rsidRDefault="006A69D5" w:rsidP="00DF3CF7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Směrnice </w:t>
            </w:r>
            <w:proofErr w:type="gram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vychází </w:t>
            </w:r>
            <w:r w:rsidR="00B6499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 dále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rozvíjí zásady standardu IAS 37, který požaduje, aby společnost při stanovení výše rezervy: </w:t>
            </w:r>
          </w:p>
          <w:p w14:paraId="26094D3D" w14:textId="38380E4F" w:rsidR="006A69D5" w:rsidRPr="00DC3295" w:rsidRDefault="006A69D5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DE4E278" w14:textId="77777777" w:rsidR="006A69D5" w:rsidRPr="00DC3295" w:rsidRDefault="006A69D5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0D0F01B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A9825D5" w14:textId="60FF4C33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2552156A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F7C7298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642FFBD" w14:textId="77777777" w:rsidR="006A69D5" w:rsidRPr="00DC3295" w:rsidRDefault="006A69D5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a) vzala v úvahu veškerá související rizika a nejistoty, aniž by vytvořila rezervu v nadměrné výši,</w:t>
            </w:r>
          </w:p>
          <w:p w14:paraId="044503A5" w14:textId="5989BF6B" w:rsidR="006A69D5" w:rsidRPr="00DC3295" w:rsidRDefault="006A69D5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6A97CEC" w14:textId="0359F69E" w:rsidR="006A69D5" w:rsidRPr="00DC3295" w:rsidRDefault="006A69D5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IAS37 –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chapter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Measurement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/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Risks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uncertainties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F2A5B7B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70426D1" w14:textId="209B9B3C" w:rsidR="006A69D5" w:rsidRPr="00DC3295" w:rsidRDefault="006A69D5" w:rsidP="00C503E4">
            <w:pP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4780A56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90C5627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2D56AFBD" w14:textId="77777777" w:rsidR="006A69D5" w:rsidRPr="00DC3295" w:rsidRDefault="006A69D5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b) upravila závazek s použitím diskontní sazby odpovídající aktuálnímu tržnímu ocenění hodnoty peněz,</w:t>
            </w:r>
          </w:p>
          <w:p w14:paraId="4951FD6B" w14:textId="3AB0E108" w:rsidR="006A69D5" w:rsidRPr="00DC3295" w:rsidRDefault="006A69D5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973D73F" w14:textId="71A0C32B" w:rsidR="006A69D5" w:rsidRPr="00DC3295" w:rsidRDefault="006A69D5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IAS37 –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chapter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Measurement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/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Present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value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C1582E0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04A8FF0" w14:textId="0F2354E6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06CF2459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D55671D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061827A" w14:textId="3F6C3CD6" w:rsidR="006A69D5" w:rsidRPr="00DC3295" w:rsidRDefault="006A69D5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c) vzala v úvahu budoucí události, například legislativní změny, pokud existují dostatečně objektivní důkazy jejich uskutečnění.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7D74BF9" w14:textId="3666AD18" w:rsidR="006A69D5" w:rsidRPr="00DC3295" w:rsidRDefault="006A69D5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IAS37 –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chapter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Measurement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/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Future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events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98A7E81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123D5D4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E46B62" w:rsidRPr="00DC3295" w14:paraId="00104A72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0944C94" w14:textId="77777777" w:rsidR="00E46B62" w:rsidRPr="00DC3295" w:rsidRDefault="00E46B62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44AB6EF" w14:textId="193248D9" w:rsidR="00E46B62" w:rsidRPr="00DC3295" w:rsidRDefault="00B64994" w:rsidP="002B193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Směrnice 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respektuje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požadavky mezinárodních účetních standardů, aby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test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postačitelnosti technických rezerv neživotního pojištění 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byl proveden na základě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aktuální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odhad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veškerých 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budoucí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peněžní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tok</w:t>
            </w:r>
            <w:r w:rsidR="007974B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  <w:r w:rsidR="00E46B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 pojistných smluv. 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158E19E" w14:textId="5BB58DEE" w:rsidR="00E46B62" w:rsidRPr="00DC3295" w:rsidRDefault="007974BC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IFRS 4 §15,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9D4285D" w14:textId="77777777" w:rsidR="00E46B62" w:rsidRPr="00DC3295" w:rsidRDefault="00E46B62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B1D59F2" w14:textId="77777777" w:rsidR="00E46B62" w:rsidRPr="00DC3295" w:rsidRDefault="00E46B62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B64994" w:rsidRPr="00DC3295" w14:paraId="5040F9DE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30B54F06" w14:textId="77777777" w:rsidR="00B64994" w:rsidRPr="00DC3295" w:rsidRDefault="00B64994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6A5666F" w14:textId="4D41F513" w:rsidR="00B64994" w:rsidRPr="00DC3295" w:rsidRDefault="00B64994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Směrnice vykládá test postačitelnosti jako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aktuárskou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službu dle SAP1.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2576E38" w14:textId="4795998F" w:rsidR="00B64994" w:rsidRPr="00DC3295" w:rsidRDefault="00BF7524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SAP 1 (2.3)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F2C0F2A" w14:textId="77777777" w:rsidR="00B64994" w:rsidRPr="00DC3295" w:rsidRDefault="00B64994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84EC0A4" w14:textId="77777777" w:rsidR="00B64994" w:rsidRPr="00DC3295" w:rsidRDefault="00B64994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1A424F6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53B22766" w14:textId="77777777" w:rsidR="006A69D5" w:rsidRPr="00DC3295" w:rsidRDefault="006A69D5" w:rsidP="006A69D5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749E4F51" w14:textId="19EA4632" w:rsidR="006A69D5" w:rsidRPr="00DC3295" w:rsidRDefault="006A69D5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Předmět testování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7855B967" w14:textId="77777777" w:rsidR="006A69D5" w:rsidRPr="00DC3295" w:rsidRDefault="006A69D5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0BB6A2AD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788B7CDE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4A6BEE7D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CEDEF52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A89456F" w14:textId="5F7B9166" w:rsidR="006A69D5" w:rsidRPr="00DC3295" w:rsidRDefault="006A69D5" w:rsidP="00B943B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Předmětem testování je</w:t>
            </w:r>
            <w:r w:rsidR="002B193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posouzení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E3339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postačitelnosti </w:t>
            </w:r>
            <w:r w:rsidR="000102B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technických rezerv</w:t>
            </w:r>
            <w:r w:rsidR="002B193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 pokrytí příslušných budoucích peněžních toků</w:t>
            </w:r>
            <w:r w:rsidR="000102B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. </w:t>
            </w:r>
          </w:p>
          <w:p w14:paraId="5F399DDF" w14:textId="0D614D69" w:rsidR="006A69D5" w:rsidRPr="00DC3295" w:rsidRDefault="000102B0" w:rsidP="00B943B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Test porovnává účetní hodnotu pojistných závazků (A) s odhadem budoucích peněžních toků plynoucí z uzavřených pojistných smluv (B).</w:t>
            </w:r>
          </w:p>
          <w:p w14:paraId="410953DE" w14:textId="77777777" w:rsidR="006A69D5" w:rsidRPr="00DC3295" w:rsidRDefault="006A69D5" w:rsidP="00B943B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1DE339A7" w14:textId="77777777" w:rsidR="006A69D5" w:rsidRPr="00DC3295" w:rsidRDefault="006A69D5" w:rsidP="00B943B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45A72C28" w14:textId="77777777" w:rsidR="006A69D5" w:rsidRPr="00DC3295" w:rsidRDefault="006A69D5" w:rsidP="00DF3CF7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1277284" w14:textId="2285DDFB" w:rsidR="006A69D5" w:rsidRPr="00DC3295" w:rsidRDefault="006A69D5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IFRS 4 14a</w:t>
            </w:r>
          </w:p>
          <w:p w14:paraId="3CCF3B85" w14:textId="0055212D" w:rsidR="00684B74" w:rsidRPr="00DC3295" w:rsidRDefault="00684B74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4E2B2579" w14:textId="77777777" w:rsidR="00684B74" w:rsidRPr="00DC3295" w:rsidRDefault="00684B74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3955CA68" w14:textId="51610A4B" w:rsidR="00684B74" w:rsidRPr="00DC3295" w:rsidRDefault="00684B74" w:rsidP="00965C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6616BA2" w14:textId="4BF19C1E" w:rsidR="00832E26" w:rsidRPr="00DC3295" w:rsidRDefault="00832E26" w:rsidP="00832E26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2B42C363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6B06873" w14:textId="4E538AEB" w:rsidR="006A69D5" w:rsidRPr="00DC3295" w:rsidRDefault="00542F1B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Do</w:t>
            </w:r>
            <w:r w:rsidR="006A69D5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testování se </w:t>
            </w:r>
            <w:r w:rsidR="002C710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zahrnuje</w:t>
            </w:r>
            <w:r w:rsidR="006A69D5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i rezerva na hrozící ztráty.</w:t>
            </w:r>
          </w:p>
          <w:p w14:paraId="38A3CA83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  <w:p w14:paraId="3B4E6B02" w14:textId="391AA37A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7D2E14B9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9A9052F" w14:textId="781CEE59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D51DC79" w14:textId="77777777" w:rsidR="00EA6038" w:rsidRPr="00DC3295" w:rsidRDefault="00EA6038" w:rsidP="00EA603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DEFINICE A:</w:t>
            </w:r>
          </w:p>
          <w:p w14:paraId="7884107B" w14:textId="5921A53A" w:rsidR="00EA6038" w:rsidRPr="00DC3295" w:rsidRDefault="00EA6038" w:rsidP="00EA603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Za účetní hodnotu pojistných závazků je považován součet technických rezerv neživotního pojištění, viz bod </w:t>
            </w:r>
            <w:proofErr w:type="gramStart"/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č.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4 této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směrnice.</w:t>
            </w:r>
          </w:p>
          <w:p w14:paraId="195520FC" w14:textId="48BFBFF8" w:rsidR="006A69D5" w:rsidRPr="00DC3295" w:rsidRDefault="006A69D5" w:rsidP="00DF3CF7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04AA563" w14:textId="77777777" w:rsidR="00EA6038" w:rsidRPr="00DC3295" w:rsidRDefault="00EA6038" w:rsidP="00EA6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C3295">
              <w:rPr>
                <w:rFonts w:ascii="Verdana" w:hAnsi="Verdana"/>
                <w:sz w:val="20"/>
                <w:szCs w:val="20"/>
              </w:rPr>
              <w:t>IFRS 4 čl.15, IFRS 4   č.14a</w:t>
            </w:r>
          </w:p>
          <w:p w14:paraId="71DF136C" w14:textId="45A6E1A3" w:rsidR="006A69D5" w:rsidRPr="00DC3295" w:rsidRDefault="006A69D5" w:rsidP="009C37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5F91910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AB79B1F" w14:textId="77777777" w:rsidR="000D657D" w:rsidRPr="00DC3295" w:rsidRDefault="000D657D" w:rsidP="000D657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IFRS 4, bod 15 požaduje testování „uznaných pojistných závazků“. </w:t>
            </w:r>
          </w:p>
          <w:p w14:paraId="104333FC" w14:textId="7F3475E1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6FB183BE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BDDF6AA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B1124F3" w14:textId="77777777" w:rsidR="00EA6038" w:rsidRPr="00DC3295" w:rsidRDefault="00EA6038" w:rsidP="00EA603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DEFINICE B: </w:t>
            </w:r>
          </w:p>
          <w:p w14:paraId="2C2424F6" w14:textId="10E5B4E4" w:rsidR="001119E1" w:rsidRPr="00DC3295" w:rsidRDefault="00EA6038" w:rsidP="00EA603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Odhad budoucích peněžních toků zahrnuje všechny peněžní toky související s</w:t>
            </w:r>
            <w:r w:rsidR="0009362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 dosud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uzavřenými pojistnými smlouvami, </w:t>
            </w:r>
            <w:r w:rsidR="001119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viz bod </w:t>
            </w:r>
            <w:r w:rsidR="00BF752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č. </w:t>
            </w:r>
            <w:r w:rsidR="001119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5 této směrnice.</w:t>
            </w:r>
          </w:p>
          <w:p w14:paraId="44CFAF1A" w14:textId="77777777" w:rsidR="006A69D5" w:rsidRPr="00DC3295" w:rsidRDefault="006A69D5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0E866CD" w14:textId="77777777" w:rsidR="00EA6038" w:rsidRPr="00DC3295" w:rsidRDefault="00EA6038" w:rsidP="00EA60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C3295">
              <w:rPr>
                <w:rFonts w:ascii="Verdana" w:hAnsi="Verdana"/>
                <w:sz w:val="20"/>
                <w:szCs w:val="20"/>
              </w:rPr>
              <w:t>IFRS 4 čl.15, IFRS 4 čl.16a, IFRS 4 čl.17b, IFRS 4 čl.20</w:t>
            </w:r>
          </w:p>
          <w:p w14:paraId="1BF573AC" w14:textId="77777777" w:rsidR="00EA6038" w:rsidRPr="00DC3295" w:rsidRDefault="00EA6038" w:rsidP="00EA60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SII, L2, Nařízení komise, doplnit odkaz na hranici smlouvy v zákoně o pojišťovnictví až bude</w:t>
            </w:r>
          </w:p>
          <w:p w14:paraId="6E7D4E29" w14:textId="72CB34C5" w:rsidR="006A69D5" w:rsidRPr="00DC3295" w:rsidRDefault="006A69D5" w:rsidP="009C37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82C734E" w14:textId="77777777" w:rsidR="006A69D5" w:rsidRPr="00DC3295" w:rsidRDefault="006A69D5" w:rsidP="00107049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C504D47" w14:textId="4D29C6A6" w:rsidR="006A69D5" w:rsidRPr="00DC3295" w:rsidRDefault="006A69D5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34318278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253070C8" w14:textId="77777777" w:rsidR="006A69D5" w:rsidRPr="00DC3295" w:rsidRDefault="006A69D5" w:rsidP="006A69D5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4E636B91" w14:textId="18A7C664" w:rsidR="006A69D5" w:rsidRPr="00DC3295" w:rsidRDefault="00684B74" w:rsidP="00EC54A1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Účetní hodnota pojistných závazků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57227B62" w14:textId="36C38EBD" w:rsidR="006A69D5" w:rsidRPr="00DC3295" w:rsidRDefault="006A69D5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60E4330B" w14:textId="6EBA2650" w:rsidR="006A69D5" w:rsidRPr="00DC3295" w:rsidRDefault="006A69D5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2D872209" w14:textId="025A0676" w:rsidR="006A69D5" w:rsidRPr="00DC3295" w:rsidRDefault="006A69D5" w:rsidP="00DF3CF7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6A69D5" w:rsidRPr="00DC3295" w14:paraId="6159FA0C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A670F35" w14:textId="77777777" w:rsidR="006A69D5" w:rsidRPr="00DC3295" w:rsidRDefault="006A69D5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EBF4763" w14:textId="4963BD27" w:rsidR="006A69D5" w:rsidRPr="00DC3295" w:rsidRDefault="00684B74" w:rsidP="00965C90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Účetní hodnota pojistných závazků představuje součet </w:t>
            </w:r>
            <w:r w:rsidR="0099346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následujících</w:t>
            </w:r>
            <w:r w:rsidR="00F67E9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FB430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typů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</w:t>
            </w:r>
            <w:r w:rsidR="006A69D5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echnick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ých</w:t>
            </w:r>
            <w:r w:rsidR="00F67E9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rezerv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: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B22605A" w14:textId="77777777" w:rsidR="006A69D5" w:rsidRPr="00DC3295" w:rsidRDefault="006A69D5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0D75029" w14:textId="46111810" w:rsidR="006A69D5" w:rsidRPr="00DC3295" w:rsidRDefault="006A69D5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F2B0B36" w14:textId="746392FF" w:rsidR="006A69D5" w:rsidRPr="00DC3295" w:rsidRDefault="000D657D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Zde definujeme pojem „typ technických rezerv“, později používaný v textu směrnice</w:t>
            </w:r>
          </w:p>
        </w:tc>
      </w:tr>
      <w:tr w:rsidR="006A69D5" w:rsidRPr="00DC3295" w14:paraId="2AD0543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3DA79B2" w14:textId="77777777" w:rsidR="006A69D5" w:rsidRPr="00DC3295" w:rsidRDefault="006A69D5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04170E6" w14:textId="0DA50B51" w:rsidR="006A69D5" w:rsidRPr="00DC3295" w:rsidRDefault="00F67E9B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Rezervy na pojistná plnění</w:t>
            </w:r>
            <w:r w:rsidR="0009362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nevyřízených pojistných událostí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(„škodní rezervy“) tj. rezervy na nahlášené, ale nezlikvidované pojistné události (rezerva RBNS) a rezervy na vzniklé, ale nenahlášené pojistné události (rezerva IBNR), včetně části rezervy na náklady spojené s likvidací pojistných událostí</w:t>
            </w:r>
          </w:p>
          <w:p w14:paraId="7F7B8B9C" w14:textId="1DACC1D7" w:rsidR="006A69D5" w:rsidRPr="00DC3295" w:rsidRDefault="006A69D5" w:rsidP="00B943B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1A7D9BB" w14:textId="1E36ADE1" w:rsidR="006A69D5" w:rsidRPr="00DC3295" w:rsidRDefault="006A69D5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F58B0BA" w14:textId="62273874" w:rsidR="006A69D5" w:rsidRPr="00DC3295" w:rsidRDefault="00660A87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Rezervy </w:t>
            </w:r>
            <w:r w:rsidR="00E0307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poskytující zdroje</w:t>
            </w:r>
            <w:r w:rsidR="00A721D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ke krytí závazků pojistný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 událostí vzniklých v</w:t>
            </w:r>
            <w:r w:rsidR="00E0307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 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minulosti</w:t>
            </w:r>
            <w:r w:rsidR="00E0307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(a všech souvisejících toků).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880A895" w14:textId="701FEB74" w:rsidR="006A69D5" w:rsidRPr="00DC3295" w:rsidRDefault="00F67E9B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Test</w:t>
            </w:r>
            <w:r w:rsidR="002C710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ují se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závazky podle IFRS 4, tj. i rezervy na pojistná plnění.</w:t>
            </w:r>
            <w:r w:rsidR="00BF7524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V</w:t>
            </w:r>
            <w:r w:rsidR="00EB715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 </w:t>
            </w:r>
            <w:r w:rsidR="00BF7524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případě</w:t>
            </w:r>
            <w:r w:rsidR="00EB715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, že vyjde nepostačitelnost na škodní rezervě, tak je možné nedostatečnost doúčtovat do </w:t>
            </w:r>
            <w:proofErr w:type="spellStart"/>
            <w:r w:rsidR="00EB715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škodních</w:t>
            </w:r>
            <w:proofErr w:type="spellEnd"/>
            <w:r w:rsidR="00EB7156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rezerv.</w:t>
            </w:r>
          </w:p>
        </w:tc>
      </w:tr>
      <w:tr w:rsidR="00F67E9B" w:rsidRPr="00DC3295" w14:paraId="6C990BDD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53C8885" w14:textId="586C3E6F" w:rsidR="00F67E9B" w:rsidRPr="00DC3295" w:rsidRDefault="00F67E9B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13E1D90" w14:textId="1398C3BE" w:rsidR="00F67E9B" w:rsidRPr="00DC3295" w:rsidRDefault="00F67E9B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</w:r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Reze</w:t>
            </w:r>
            <w:r w:rsidR="002C710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</w:t>
            </w:r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vy vztahující se k budoucím </w:t>
            </w:r>
            <w:proofErr w:type="gramStart"/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událostem (</w:t>
            </w:r>
            <w:r w:rsidR="00C45E4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„rezervy</w:t>
            </w:r>
            <w:proofErr w:type="gramEnd"/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pojistného“), zahrnující r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ezervy na nezasloužené pojistné</w:t>
            </w:r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  r</w:t>
            </w:r>
            <w:r w:rsidR="00660A8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</w:t>
            </w:r>
            <w:r w:rsidR="0063494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zervy</w:t>
            </w:r>
            <w:r w:rsidR="00660A8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 hrozící ztráty</w:t>
            </w:r>
            <w:r w:rsidR="00A4225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</w:t>
            </w:r>
          </w:p>
          <w:p w14:paraId="4E4E206C" w14:textId="58E17802" w:rsidR="00F67E9B" w:rsidRPr="00DC3295" w:rsidRDefault="00F67E9B" w:rsidP="00B6316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63E9B5D" w14:textId="335EFE93" w:rsidR="00F67E9B" w:rsidRPr="00DC3295" w:rsidRDefault="00F67E9B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ADB073E" w14:textId="09DAD78E" w:rsidR="00F67E9B" w:rsidRPr="00DC3295" w:rsidRDefault="00E03072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Rezervy poskytující zdroje</w:t>
            </w:r>
            <w:r w:rsidR="00A721D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ke krytí</w:t>
            </w:r>
            <w:r w:rsidR="00660A8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pojistných událostí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(a všech souvisejících toků)</w:t>
            </w:r>
            <w:r w:rsidR="00660A8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které teprve vzniknou</w:t>
            </w:r>
            <w:r w:rsidR="00A721D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FB1A1CD" w14:textId="669A1A93" w:rsidR="00F67E9B" w:rsidRPr="00DC3295" w:rsidRDefault="006708E9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Účtuje-li společnost podle CAS pak i</w:t>
            </w:r>
            <w:r w:rsidR="00F67E9B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Rezerva na hrozící ztráty je zdrojem krytí závazků. Není vyloučeno, aby metodika tvorby Rezervy na hrozící ztráty se řídila shodným odhadem budoucích peněžních toků, který je použit v testu postačitelnosti.</w:t>
            </w:r>
          </w:p>
        </w:tc>
      </w:tr>
      <w:tr w:rsidR="0091180D" w:rsidRPr="00DC3295" w14:paraId="761451D0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291A434F" w14:textId="3D306E00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10007F0C" w14:textId="4C899C70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Ostatní technické rezervy, jako například Rezerva na </w:t>
            </w:r>
            <w:r w:rsidR="0009362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bonusy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 slevy</w:t>
            </w:r>
            <w:r w:rsidR="0009362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či Rezerva na závazky Kanceláře.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6F950536" w14:textId="77777777" w:rsidR="0091180D" w:rsidRPr="00DC3295" w:rsidRDefault="0091180D" w:rsidP="0091180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42F5EED0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6FD787B0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3A7D5AE2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1C4A3D39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260465CB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11C1E31B" w14:textId="0AA75041" w:rsidR="0091180D" w:rsidRPr="00DC3295" w:rsidRDefault="0091180D" w:rsidP="00B6316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Součet výše uvedených rezerv je následně snížen o časové rozlišení pořizovacích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nákladů.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56324BCA" w14:textId="77777777" w:rsidR="0091180D" w:rsidRPr="00DC3295" w:rsidRDefault="0091180D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62925B1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23BCC7D0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D3227A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1D2A7C75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732B58EC" w14:textId="49C5249B" w:rsidR="0091180D" w:rsidRPr="00DC3295" w:rsidRDefault="0091180D" w:rsidP="00B6316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Ostatní technické </w:t>
            </w:r>
            <w:r w:rsidR="004B2F2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závazky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neživotního pojištění jsou v testu posouzeny alespoň kvalitativně, nevyžaduje-li jejich významnost (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materialita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 jinak.</w:t>
            </w:r>
          </w:p>
          <w:p w14:paraId="01F560B6" w14:textId="77777777" w:rsidR="0091180D" w:rsidRPr="00DC3295" w:rsidDel="00B6316D" w:rsidRDefault="0091180D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3D8BCF2E" w14:textId="77777777" w:rsidR="0091180D" w:rsidRPr="00DC3295" w:rsidRDefault="0091180D" w:rsidP="00B631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3797DFDF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5874356B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22B8D843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2A350CC9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50384127" w14:textId="4440DFA4" w:rsidR="0091180D" w:rsidRPr="00DC3295" w:rsidDel="00B6316D" w:rsidRDefault="0091180D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Technické rezervy kryjící závazky, které neexistují k rozhodnému datu, nejsou předmětem testování.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19284F9C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3A82D05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47805E92" w14:textId="302E37A1" w:rsidR="0091180D" w:rsidRPr="00DC3295" w:rsidRDefault="002B1939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Vyrovnávací rezerva</w:t>
            </w:r>
            <w:r w:rsidR="006708E9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není zdrojem ke krytí závazků v testu postačitelnosti</w:t>
            </w:r>
          </w:p>
        </w:tc>
      </w:tr>
      <w:tr w:rsidR="0091180D" w:rsidRPr="00DC3295" w14:paraId="33B66E34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40F0A3E9" w14:textId="77777777" w:rsidR="0091180D" w:rsidRPr="00DC3295" w:rsidRDefault="0091180D" w:rsidP="00965C90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6ACCEEF8" w14:textId="67E69F02" w:rsidR="0091180D" w:rsidRPr="00DC3295" w:rsidRDefault="0091180D" w:rsidP="00EE29F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Odhad budoucích peněžních toků</w:t>
            </w:r>
            <w:r w:rsidRPr="00DC3295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52F88B51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24057992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01159309" w14:textId="617A3D1A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B4696BD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6AA7A5A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5643A3A" w14:textId="77777777" w:rsidR="0091180D" w:rsidRPr="00DC3295" w:rsidRDefault="0091180D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Tato směrnice nepředkládá vyčerpávající návod na stanovení odhadu budoucích peněžních toků </w:t>
            </w:r>
            <w:r w:rsidRPr="00DC3295" w:rsidDel="00253010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postačitelnosti rezerv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, ale poskytuje zásady a doporučení, které by měly být v testu zohledněny. </w:t>
            </w:r>
          </w:p>
          <w:p w14:paraId="6524C3BC" w14:textId="043BCB8E" w:rsidR="0091180D" w:rsidRPr="00DC3295" w:rsidRDefault="001119E1" w:rsidP="00DF38B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Jako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odhad budoucích peněžních toků pro účely této směrnice</w:t>
            </w:r>
            <w:r w:rsidRPr="00DC3295" w:rsidDel="00BF6DE2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91180D"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se použije </w:t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diskontovaná hodnota součtu projektovaných peněžních</w:t>
            </w:r>
            <w:r w:rsidR="0091180D"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toků</w:t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 dosud uzavřený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</w:t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pojistný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ch</w:t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sml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uv</w:t>
            </w:r>
            <w:r w:rsidR="0091180D"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 Jedná se zejména o toky: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E75E980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C8BA40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4214451" w14:textId="1871E9F5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11F4D18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74E95E9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CDA01F5" w14:textId="3A2C8F52" w:rsidR="0091180D" w:rsidRPr="00DC3295" w:rsidRDefault="0091180D" w:rsidP="00542F1B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budoucího pojistného nad rámec rezervy na nezasloužené pojistné, které přísluší uzavřeným pojistným smlouvám až do hranice pojistné smlouvy uvedené v bodu 7 této směrnice</w:t>
            </w:r>
            <w:r w:rsidR="00542F1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(„nepředepsané zavázané pojistné“)</w:t>
            </w:r>
            <w:r w:rsidR="00E16AF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;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289E6A6" w14:textId="7C53084A" w:rsidR="0091180D" w:rsidRPr="00DC3295" w:rsidRDefault="00965C90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Přidat odkaz na hranici smlouvy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F62558F" w14:textId="31FB8CC5" w:rsidR="0091180D" w:rsidRPr="00DC3295" w:rsidRDefault="00841088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Příklad - </w:t>
            </w:r>
            <w:r w:rsid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Jeli uzavřena na počátku listopadu roční smlouva s kvartálním předepisováním po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jistného, pak při</w:t>
            </w:r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pro </w:t>
            </w:r>
            <w:proofErr w:type="spellStart"/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rata</w:t>
            </w:r>
            <w:proofErr w:type="spellEnd"/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temporis</w:t>
            </w:r>
            <w:proofErr w:type="spellEnd"/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způsobu zasluhování pojistného je v rezervě na </w:t>
            </w:r>
            <w:r w:rsidR="00FC3AD6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nezasloužené pojistné pouze jedno měsíční pojistné, ačkoliv do konce pojistného období zbývá</w:t>
            </w:r>
            <w:r w:rsidR="00C96889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ještě 10 měsíců. Nemá-li pojišťovna jednostranné právo ukončit </w:t>
            </w:r>
            <w:proofErr w:type="spellStart"/>
            <w:r w:rsidR="00C96889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smlovu</w:t>
            </w:r>
            <w:proofErr w:type="spellEnd"/>
            <w:r w:rsidR="00C96889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či změnit pojistné dříve než na konci pojistného období, pak je nutné zahrnout do testu postačitelnosti nejen rezervu na nezasloužené pojistné ale i další (v tomto případě 3) splátky pojistného do konce pojistného období a k nim odpovídající náklady a škodní zatížení.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A790E1D" w14:textId="50722E6B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lastRenderedPageBreak/>
              <w:t xml:space="preserve">Alternativně: předepsaného pojistného příslušného stávajícímu pojistnému kmeni od data, ke kterému je prováděno </w:t>
            </w:r>
            <w:proofErr w:type="gramStart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testování  do</w:t>
            </w:r>
            <w:proofErr w:type="gramEnd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hranice kontraktu Novela vyhlášky 502/2002 uvádí cca takto: „splatné pojistné vyplývající ze smluv uzavřených před skončením účetního období“  Obdobná formulace je v překladu 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lastRenderedPageBreak/>
              <w:t>evropské směrnice o účetních závěrkách pojišťoven (91/674/EHS).</w:t>
            </w:r>
          </w:p>
        </w:tc>
      </w:tr>
      <w:tr w:rsidR="0091180D" w:rsidRPr="00DC3295" w14:paraId="65536E5C" w14:textId="77777777" w:rsidTr="007B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1579B0A" w14:textId="6ED3596E" w:rsidR="0091180D" w:rsidRPr="00DC3295" w:rsidRDefault="0091180D" w:rsidP="006A69D5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D3C643C" w14:textId="373ED2FC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pojistné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ho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plnění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0DE52B6" w14:textId="7EBE4B0B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C17EA8F" w14:textId="71940B75" w:rsidR="0091180D" w:rsidRPr="00DC3295" w:rsidRDefault="0091180D" w:rsidP="003A5B5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C8E2CA5" w14:textId="79C3686D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19DA6D1C" w14:textId="77777777" w:rsidTr="007B37BA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CBDB702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C079013" w14:textId="08BBB8B1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regres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pojistného plnění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92EF269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91660E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A8FCDE4" w14:textId="41E2411B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05315BE3" w14:textId="77777777" w:rsidTr="007B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B98975F" w14:textId="77777777" w:rsidR="0091180D" w:rsidRPr="00DC3295" w:rsidRDefault="0091180D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7F40D4C" w14:textId="33AAB2FF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</w:r>
            <w:r w:rsidR="00DF38B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budoucích počátečních (např. provize související s nepředepsaným zavázaným pojistným), správních, likvidačních a dalších souvisejících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náklad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8AF0B21" w14:textId="7DECBF5A" w:rsidR="0091180D" w:rsidRPr="00DC3295" w:rsidRDefault="0091180D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E4AC7C0" w14:textId="57DAAC79" w:rsidR="0091180D" w:rsidRPr="005749A0" w:rsidRDefault="005749A0" w:rsidP="00B6316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Jsou-li získatelské náklady vypláceny v souladu se způsobem předepisování, pak v případě zmíněné kvartálně předepisované roční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smlouvy jsou odložené získatelské náklady vytvořené pouze pro část závazku krytou rezervou na nezasloužené pojistné a pro zbylé tři splátky je nutno zahrnout získatelské náklady do projekce toků.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5DE1DFE" w14:textId="09662EDA" w:rsidR="0091180D" w:rsidRPr="00DC3295" w:rsidRDefault="0091180D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3A1F2632" w14:textId="77777777" w:rsidTr="00EE29F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19ED94C" w14:textId="77777777" w:rsidR="0091180D" w:rsidRPr="00DC3295" w:rsidRDefault="0091180D" w:rsidP="00965C90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6031D89" w14:textId="76854DD9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odvod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či příspěvk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091044F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65F27FC" w14:textId="16F8BEAC" w:rsidR="005749A0" w:rsidRPr="00DC3295" w:rsidRDefault="000D657D" w:rsidP="000D657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Zahrnuje příspěvky do Fondu zábrany škod</w:t>
            </w:r>
            <w:r w:rsidR="004B2F2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příspěvky na provoz ČKP,</w:t>
            </w:r>
            <w:r w:rsidR="004B2F2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nezahrnuje korporátní daň</w:t>
            </w:r>
            <w:r w:rsidR="005749A0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B8DCDDA" w14:textId="37A8F607" w:rsidR="0091180D" w:rsidRPr="00DC3295" w:rsidRDefault="005749A0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Náklady na příspěvky do Fondu zábrany škod je také </w:t>
            </w:r>
            <w:r w:rsid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nutné odlišit podle </w:t>
            </w:r>
            <w:proofErr w:type="spellStart"/>
            <w:r w:rsid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zaplacenosti</w:t>
            </w:r>
            <w:proofErr w:type="spellEnd"/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/</w:t>
            </w:r>
            <w:proofErr w:type="spellStart"/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předepsanosti</w:t>
            </w:r>
            <w:proofErr w:type="spellEnd"/>
            <w:r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pojistného, tak aby jejich zahrnutí časově i věcně souhlasilo s nezaslouženým či nepředepsaným pojistným.</w:t>
            </w:r>
          </w:p>
        </w:tc>
      </w:tr>
      <w:tr w:rsidR="0091180D" w:rsidRPr="00DC3295" w14:paraId="4B92EA5C" w14:textId="77777777" w:rsidTr="00EE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8092BB2" w14:textId="4D75C021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2B89059" w14:textId="730877BD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f)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bonifikac</w:t>
            </w:r>
            <w:r w:rsidRPr="00DC3295" w:rsidDel="00304768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plynoucích z pojistných smluv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D86911C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E798C6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80D26B7" w14:textId="6AEFA114" w:rsidR="0091180D" w:rsidRPr="00DC3295" w:rsidRDefault="0091180D" w:rsidP="00107049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FB4304" w:rsidRPr="00DC3295" w14:paraId="55355537" w14:textId="77777777" w:rsidTr="00EE29F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6CFF596" w14:textId="77777777" w:rsidR="00FB4304" w:rsidRPr="00DC3295" w:rsidRDefault="00FB4304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30D5EB2" w14:textId="74BA76F6" w:rsidR="00FB4304" w:rsidRPr="00DC3295" w:rsidRDefault="00FB4304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V případě toků pojistného plnění, regresů a nákladů</w:t>
            </w:r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je nutné odlišit, </w:t>
            </w:r>
            <w:proofErr w:type="gramStart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zda-</w:t>
            </w:r>
            <w:proofErr w:type="spellStart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li</w:t>
            </w:r>
            <w:proofErr w:type="spellEnd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se</w:t>
            </w:r>
            <w:proofErr w:type="gramEnd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vztahují ke </w:t>
            </w:r>
            <w:proofErr w:type="spellStart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škodním</w:t>
            </w:r>
            <w:proofErr w:type="spellEnd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událostem již vzniklým nebo ke </w:t>
            </w:r>
            <w:proofErr w:type="spellStart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škodním</w:t>
            </w:r>
            <w:proofErr w:type="spellEnd"/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událostem budoucím, plynoucích ze současných smluv dle hranice definice kontraktu </w:t>
            </w:r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[7]</w:t>
            </w:r>
            <w:r w:rsidR="00CA580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2F6BF63" w14:textId="77777777" w:rsidR="00FB4304" w:rsidRPr="00DC3295" w:rsidRDefault="00FB4304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F1901F3" w14:textId="51E4610C" w:rsidR="00FB4304" w:rsidRPr="00DC3295" w:rsidRDefault="000D657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Nutné oddělovat toky, které mají být pokryté ze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škodních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rezerv od toků krytých rezervami pojistného.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D6C779B" w14:textId="77777777" w:rsidR="00FB4304" w:rsidRPr="00DC3295" w:rsidRDefault="00FB4304" w:rsidP="00107049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E16AF8" w:rsidRPr="00DC3295" w14:paraId="285520E7" w14:textId="77777777" w:rsidTr="00EE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F6DB671" w14:textId="77777777" w:rsidR="00E16AF8" w:rsidRPr="00DC3295" w:rsidRDefault="00E16AF8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EFCE16B" w14:textId="6363260F" w:rsidR="00E16AF8" w:rsidRPr="00DC3295" w:rsidRDefault="00E16AF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Toky související s pasivním zajištěním nejsou v tomto testu brány v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 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úvahu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viz též bod 8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660B3F1" w14:textId="77777777" w:rsidR="00E16AF8" w:rsidRPr="00DC3295" w:rsidRDefault="00E16AF8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6E3F7DF" w14:textId="77777777" w:rsidR="00E16AF8" w:rsidRPr="00DC3295" w:rsidRDefault="00E16AF8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2A8FF41" w14:textId="77777777" w:rsidR="00E16AF8" w:rsidRPr="00DC3295" w:rsidRDefault="00E16AF8" w:rsidP="00107049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08FBE133" w14:textId="77777777" w:rsidTr="00EE29F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E35A7E2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8933FA8" w14:textId="4F7D9754" w:rsidR="0091180D" w:rsidRPr="00DC3295" w:rsidRDefault="0091180D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Pro stanovení finančních toků se použijí vhodné statisticko-pojistné metody. Při volbě metody by měla být posouzena její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adekvátnost a stálost.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3FDC501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97BA151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6E84DC2" w14:textId="7BA705DE" w:rsidR="0091180D" w:rsidRPr="00DC3295" w:rsidRDefault="0091180D" w:rsidP="00107049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37FD547" w14:textId="77777777" w:rsidTr="00EE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1FB0D36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69DC307" w14:textId="01A5C31D" w:rsidR="0091180D" w:rsidRPr="00DC3295" w:rsidRDefault="0091180D" w:rsidP="00EE29F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Odhad budoucích peněžních toků</w:t>
            </w:r>
            <w:r w:rsidRPr="00DC3295" w:rsidDel="00BF6DE2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nemůže být nižší než střední hodnota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těchto toků</w:t>
            </w:r>
            <w:r w:rsidR="00EE29F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</w:t>
            </w:r>
            <w:r w:rsidR="00242FB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očekávaná na základě racionálních předpokladů.</w:t>
            </w:r>
            <w:r w:rsidRPr="00DC3295" w:rsidDel="00BF6DE2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Odhad toků by zároveň měl být v souladu s</w:t>
            </w:r>
            <w:r w:rsidRPr="00DC3295" w:rsidDel="00BF6DE2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rizikovým apetitem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společnosti.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D4FD788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B0C5D24" w14:textId="77777777" w:rsidR="0091180D" w:rsidRPr="00632FB0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6354027" w14:textId="77777777" w:rsidR="0091180D" w:rsidRPr="00632FB0" w:rsidRDefault="000D657D" w:rsidP="00812A00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Chceme přidat nějaký komentář – buď do textu směrnice, nebo doporučení – ve stylu, že za doporučenou praxi se považuje používat vhodně definovanou rizikovou přirážku, což je i v souladu s oceňovacími principy SII (risk </w:t>
            </w:r>
            <w:proofErr w:type="spellStart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margin</w:t>
            </w:r>
            <w:proofErr w:type="spellEnd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) a budoucími principy </w:t>
            </w:r>
            <w:proofErr w:type="gramStart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IFRS 4 </w:t>
            </w:r>
            <w:proofErr w:type="spellStart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f.II</w:t>
            </w:r>
            <w:proofErr w:type="spellEnd"/>
            <w:proofErr w:type="gramEnd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(risk </w:t>
            </w:r>
            <w:proofErr w:type="spellStart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adjustment</w:t>
            </w:r>
            <w:proofErr w:type="spellEnd"/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)?</w:t>
            </w:r>
          </w:p>
          <w:p w14:paraId="13EAD16B" w14:textId="77777777" w:rsidR="004C52E3" w:rsidRPr="00632FB0" w:rsidRDefault="004C52E3" w:rsidP="00812A00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Příklady:</w:t>
            </w:r>
          </w:p>
          <w:p w14:paraId="4F9B3D1C" w14:textId="6F225186" w:rsidR="004C52E3" w:rsidRPr="00632FB0" w:rsidRDefault="004C52E3" w:rsidP="002C7106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podle </w:t>
            </w:r>
            <w:r w:rsidR="002C7106"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nákladů na </w:t>
            </w:r>
            <w:r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kapitál,</w:t>
            </w:r>
          </w:p>
          <w:p w14:paraId="745DF4A8" w14:textId="0B0AB653" w:rsidR="004C52E3" w:rsidRPr="00632FB0" w:rsidRDefault="004C52E3" w:rsidP="002C7106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podle četnosti nedostatečnosti </w:t>
            </w:r>
            <w:proofErr w:type="gramStart"/>
            <w:r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rezerv</w:t>
            </w:r>
            <w:r w:rsidR="002C7106"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 ( dle</w:t>
            </w:r>
            <w:proofErr w:type="gramEnd"/>
            <w:r w:rsidR="002C7106" w:rsidRPr="00632FB0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 kvantilu rozdělení rezerv)</w:t>
            </w:r>
          </w:p>
        </w:tc>
      </w:tr>
      <w:tr w:rsidR="0091180D" w:rsidRPr="00DC3295" w14:paraId="70420259" w14:textId="77777777" w:rsidTr="00EE29F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A25F58F" w14:textId="11844A72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D4A56F3" w14:textId="7A755C6C" w:rsidR="0091180D" w:rsidRPr="00DC3295" w:rsidRDefault="0091180D" w:rsidP="00DF38B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Pokud společnost explicitně zvolí nějakou vyšší mez než střední hodnotu, uvede toto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 dokumentaci testu postačitelnosti. Zároveň vždy uvede případné změny zvolené meze</w:t>
            </w:r>
            <w:r w:rsidR="00EE29F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oproti předchozím tes</w:t>
            </w:r>
            <w:r w:rsidR="00A93A4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ům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včetně </w:t>
            </w:r>
            <w:r w:rsidR="001119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jejich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odůvodnění</w:t>
            </w:r>
            <w:r w:rsidR="00EE29F9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7F6869D" w14:textId="3032A15A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79702D1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753ADDE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39C3428" w14:textId="77777777" w:rsidTr="00EE2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126DCFF9" w14:textId="77777777" w:rsidR="0091180D" w:rsidRPr="00DC3295" w:rsidRDefault="0091180D" w:rsidP="00965C90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19D032BD" w14:textId="20551DB4" w:rsidR="0091180D" w:rsidRPr="00DC3295" w:rsidRDefault="0091180D" w:rsidP="00965C90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Homogenita a segmentace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633747BD" w14:textId="055E7E4C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5AC7F7A6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44747AEA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586223" w:rsidRPr="00DC3295" w14:paraId="060576F2" w14:textId="77777777" w:rsidTr="00586223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351C0F15" w14:textId="77777777" w:rsidR="00586223" w:rsidRPr="00DC3295" w:rsidRDefault="00586223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07B5579" w14:textId="2336C5D6" w:rsidR="00586223" w:rsidRPr="00DC3295" w:rsidRDefault="00586223" w:rsidP="000A1B90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Tato směrnice definuje tři požadované úrovně segmentace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68AC950" w14:textId="77777777" w:rsidR="00586223" w:rsidRPr="00DC3295" w:rsidRDefault="00586223" w:rsidP="00B631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559F167" w14:textId="77777777" w:rsidR="00586223" w:rsidRPr="00DC3295" w:rsidRDefault="00586223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68EF97A" w14:textId="77777777" w:rsidR="00586223" w:rsidRPr="00DC3295" w:rsidRDefault="00586223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2D9CFAA" w14:textId="77777777" w:rsidTr="0058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A80426A" w14:textId="77777777" w:rsidR="0091180D" w:rsidRPr="00DC3295" w:rsidRDefault="0091180D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0F74EA7" w14:textId="77777777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Segmentace pro vyhodnocení postačitelnosti </w:t>
            </w:r>
          </w:p>
          <w:p w14:paraId="2580CAE1" w14:textId="3BC6C420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 segmentaci pojistného kmene pro ověřování postačitelnosti IFRS uvádí, že test má být prováděn na souborech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smluv vystavených obdobným rizikům a spravovaným jako jediné portfolio. V rámci tohoto kritéria si společnost může zvolit přesnou definici segmentů, na jejichž úrovni vyhodnocuje (ne)postačitelnost rezerv. Společnost pokračuje v segmentaci používané ve stávajícím testování, pokud nemá závažný důvod k její změně. Změna segmentace je většinou považována za změnu účetní metody.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8F3E2A4" w14:textId="67EB986D" w:rsidR="0091180D" w:rsidRPr="00DC3295" w:rsidRDefault="00FE4E52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IFRS 4 odst. 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F4AA3AB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D7594CA" w14:textId="1C14FBEA" w:rsidR="0091180D" w:rsidRPr="00DC3295" w:rsidRDefault="00E3141A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Na úrovni těchto segmentů se na základě testu rozhod</w:t>
            </w:r>
            <w:r w:rsid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uje o (ne)potřebě navýšení technických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rezerv.</w:t>
            </w:r>
          </w:p>
        </w:tc>
      </w:tr>
      <w:tr w:rsidR="0091180D" w:rsidRPr="00DC3295" w14:paraId="0AFA3A32" w14:textId="77777777" w:rsidTr="00FE4E52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9009522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FDA809E" w14:textId="77777777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b) Segmentace pro výpočet očekávané hodnoty finančních toků (výpočetní segmenty)</w:t>
            </w:r>
          </w:p>
          <w:p w14:paraId="0C85209B" w14:textId="77777777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Pro výpočet očekávané hodnoty budoucích finančních toků by měly být závazky rozděleny do výpočetních segmentů tak, aby je bylo možné považovat za homogenní a zároveň umožňovaly provádět robustní odhady.  Z důvodu zajištění homogenity chování segmentu i adekvátnosti použitých metod výpočtu by testovací segmenty měly být v případě vhodnosti rozděleny dle následujících až tří kritérií:</w:t>
            </w:r>
          </w:p>
          <w:p w14:paraId="6A408517" w14:textId="2B1A387C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segmentace dle typu rezervy (</w:t>
            </w:r>
            <w:r w:rsidR="00C45E4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zejména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 rezerva, rezerva pojistného)</w:t>
            </w:r>
          </w:p>
          <w:p w14:paraId="483EB8B1" w14:textId="77777777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segmentace dle homogenity pojištěných rizik</w:t>
            </w:r>
          </w:p>
          <w:p w14:paraId="29404960" w14:textId="77777777" w:rsidR="0091180D" w:rsidRPr="00DC3295" w:rsidRDefault="0091180D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segmentace dle typu škod (normální škody, velké jednotlivé škody, katastrofické škodní události,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rentové škody)</w:t>
            </w:r>
          </w:p>
          <w:p w14:paraId="168D95D2" w14:textId="0D5382C0" w:rsidR="0091180D" w:rsidRPr="00DC3295" w:rsidRDefault="0091180D" w:rsidP="00940422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Vyžaduje-li to chování jednotlivých závazků, pak se výpočetní skupiny rizik mohou lišit pro jednotlivé typy rezerv. Je-li některá nemateriální skupina rizik nedostatečná pro použití pojistně-matematických metod, pak je nutné použít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aktuárský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úsudek pro posouzení </w:t>
            </w:r>
            <w:r w:rsidRPr="00DC3295" w:rsidDel="008659F9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rizika 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nepostačitelnosti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rezerv.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0B94665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ECE77D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1D95E10" w14:textId="7ADB3784" w:rsidR="0091180D" w:rsidRPr="00DC3295" w:rsidRDefault="0091180D" w:rsidP="009D6E3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B1E6444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2DE7039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57C548D" w14:textId="4E2A60EC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c) Segmentace </w:t>
            </w:r>
            <w:r w:rsidR="00CC671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zobrazení výsledků pro účely dokumentace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(výsledkové segmenty)</w:t>
            </w:r>
          </w:p>
          <w:p w14:paraId="7A8407CE" w14:textId="57CBA6C9" w:rsidR="0091180D" w:rsidRPr="00DC3295" w:rsidRDefault="00CC6711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si může s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ám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zvolit detail vykazování výsledků testu postačitelnosti</w:t>
            </w:r>
            <w:r w:rsidR="00C45E4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  <w:r w:rsidR="00A93A4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C45E4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Doporučeným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minimem je rozdělení dle typů rezerv a na pojistná odvětví</w:t>
            </w:r>
            <w:r w:rsidR="0029029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  <w:r w:rsidR="00542F1B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Zvolený detail by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neměl měnit, nemá-li k tomu závažný důvod.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62C6684" w14:textId="431C7636" w:rsidR="0091180D" w:rsidRPr="00DC3295" w:rsidRDefault="00B93822" w:rsidP="00B938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[4]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pro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rezervu na pojistné 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MTPL,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065B962" w14:textId="0A64B446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FB3DD66" w14:textId="190983DA" w:rsidR="00FE4E52" w:rsidRPr="00DC3295" w:rsidRDefault="00FE4E52" w:rsidP="009D6E3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</w:t>
            </w:r>
            <w:r w:rsidR="000D657D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Segmentací je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zde myšlen detail</w:t>
            </w:r>
            <w:r w:rsidR="00B93822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zobrazení výsledků v</w:t>
            </w:r>
            <w:r w:rsidR="00E3141A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 dokumentaci </w:t>
            </w:r>
            <w:r w:rsidR="00B93822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testu, nikoliv zaúčtování výsledků.</w:t>
            </w:r>
          </w:p>
          <w:p w14:paraId="224163CE" w14:textId="77777777" w:rsidR="00290290" w:rsidRPr="00632FB0" w:rsidRDefault="00290290" w:rsidP="009D6E3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  <w:p w14:paraId="3985BFDD" w14:textId="6162D7B3" w:rsidR="00290290" w:rsidRPr="00DC3295" w:rsidRDefault="00290290" w:rsidP="00290290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632FB0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Pojistná odvětví mohou být dělena například dle technické specifikace Solventnosti II nebo dle interního členění.</w:t>
            </w:r>
            <w:r w:rsidRPr="00DC3295"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  <w:t xml:space="preserve">  </w:t>
            </w:r>
          </w:p>
        </w:tc>
      </w:tr>
      <w:tr w:rsidR="0091180D" w:rsidRPr="00DC3295" w14:paraId="4C8835C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7E46C00" w14:textId="003A26EB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110085A" w14:textId="35338454" w:rsidR="0091180D" w:rsidRPr="00DC3295" w:rsidRDefault="0091180D" w:rsidP="00310CB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Segmenty pro vyhodnocení postačitelnosti, výpočetní segmenty a segmenty vykazování se nutně nemusí shodovat.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F1D420E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07BF95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F1A3C4E" w14:textId="77777777" w:rsidR="0091180D" w:rsidRPr="00DC3295" w:rsidRDefault="0091180D" w:rsidP="009D6E3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B9695CB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5984BFEA" w14:textId="77777777" w:rsidR="0091180D" w:rsidRPr="00DC3295" w:rsidRDefault="0091180D" w:rsidP="00965C90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54C35351" w14:textId="14685380" w:rsidR="0091180D" w:rsidRPr="00DC3295" w:rsidRDefault="0091180D" w:rsidP="00965C90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Hranice smluv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64602610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57A11345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596D27A4" w14:textId="77777777" w:rsidR="0091180D" w:rsidRPr="00DC3295" w:rsidRDefault="0091180D" w:rsidP="009D6E3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A6FD94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3C97545A" w14:textId="77777777" w:rsidR="0091180D" w:rsidRPr="00DC3295" w:rsidRDefault="0091180D" w:rsidP="00965C90">
            <w:pPr>
              <w:pStyle w:val="Odstavecseseznamem"/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28E475ED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 testu postačitelnosti se berou v úvahu očekávané peněžní toky ze stávajících pojistných smluv související se závazky a pohledávkami, které příslušejí období až do hranice smlouvy definované níže. Zároveň se berou v úvahu v budoucnu očekávané peněžní toky související se závazky a pohledávkami, které již vznikly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na stávajících a minulých pojistných smlouvách.</w:t>
            </w:r>
          </w:p>
          <w:p w14:paraId="5F8CCBC1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  <w:p w14:paraId="148BD668" w14:textId="732B4811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Hranicí smlouvy se zpravidla rozumí hranice blíže specifikovaná v [3]. Pokud toto určení hranice není v souladu s účetní praxí pojišťovny a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zvolí alternativní specifikaci hranice smlouvy, je třeba její přesnou definici zdokumentovat, včetně prokázání konsistence zvoleného přístupu s účtováním výnosů a nákladů z pojistných smluv.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53AD168B" w14:textId="2195EC1D" w:rsidR="0091180D" w:rsidRPr="00DC3295" w:rsidRDefault="00B93822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Doplnit odkaz na část v novém zákoně o pojišťovnictví</w:t>
            </w:r>
            <w:r w:rsidR="000D657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0D657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[3]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727CDED7" w14:textId="7530DE06" w:rsidR="000D657D" w:rsidRPr="00DC3295" w:rsidRDefault="000D657D" w:rsidP="000D657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Vyhláška, </w:t>
            </w:r>
            <w:proofErr w:type="gram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příloha 4.B a §16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odst. 8 předepisuje, že rezerva na hrozící ztráty musí pokrýt veškeré nároky a výdaje spojené s platnými pojistnými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 xml:space="preserve">smlouvami překračující výši rezerv na nezasloužené pojistné a </w:t>
            </w:r>
            <w:r w:rsidR="00C900B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nepředepsaného zavázaného pojistného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vyplývající z těchto smluv. </w:t>
            </w:r>
          </w:p>
          <w:p w14:paraId="3246A644" w14:textId="05F6A50A" w:rsidR="0091180D" w:rsidRPr="00DC3295" w:rsidRDefault="000D657D" w:rsidP="00603DD6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Rozumíme, že „</w:t>
            </w:r>
            <w:r w:rsidR="00C900B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nepředepsaný zavázaným pojistným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“ bylo myšleno pojistné v budoucnu předepsané (tzn. dosud neodražené v rezervě na nezasloužené pojistné) příslušející stávajícím smlouvám</w:t>
            </w:r>
            <w:r w:rsidR="001028A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. </w:t>
            </w:r>
            <w:r w:rsidR="00603DD6" w:rsidRPr="001028A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Toto pojistné je nutno zahrnout</w:t>
            </w:r>
            <w:r w:rsidR="00603DD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protože ze závazku není možné se jednostranně vyvázat.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5B655B63" w14:textId="0F5F6DD3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C6700E3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0FEE68DC" w14:textId="77777777" w:rsidR="0091180D" w:rsidRPr="00DC3295" w:rsidRDefault="0091180D" w:rsidP="00965C90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48397605" w14:textId="2083A626" w:rsidR="0091180D" w:rsidRPr="00DC3295" w:rsidRDefault="0091180D" w:rsidP="00965C90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Zajištění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5F717D33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1FDCF02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79F523B0" w14:textId="5A14F729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E658C97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699D850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AE65788" w14:textId="4F91EB38" w:rsidR="0091180D" w:rsidRPr="00DC3295" w:rsidRDefault="0091180D" w:rsidP="0012360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Test postačitelnosti se v základní podobě vždy provádí na hrubé výši technických rezerv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 peněžní toky související s pasivním zajištěním nejsou v tomto testu brány v úvahu.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 souladu se standardem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[5]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vzhledem k oddělenému účtování zajistných aktiv není otázka zajištění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 xml:space="preserve">primárně předmětem testování postačitelnosti 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technických rezerv (tzn. zaúčtovaných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závazků</w:t>
            </w:r>
            <w:r w:rsidR="00E3141A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  <w:p w14:paraId="770C325A" w14:textId="4CE73AB7" w:rsidR="00E3141A" w:rsidRPr="00DC3295" w:rsidRDefault="00E3141A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Mezinárodní účetní standardy nad rámec testu postačitelnosti technických rezerv předepisují test snížení hodnoty zajistných aktiv („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impairment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test“).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Dále je možné vliv zajištění zohlednit formou doplňkového testu postačitelnosti na základě rezerv a peněžních toků po vlivu zajištění, či kvalitativním zhodnocením vhodnosti struktury zajistných programů.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9F496DD" w14:textId="2578494D" w:rsidR="0091180D" w:rsidRPr="00DC3295" w:rsidRDefault="00123608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IFRS 4 (§17 a § 20)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74C72FB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AE3C0BB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1AB13AEA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28CF61B6" w14:textId="77777777" w:rsidR="0091180D" w:rsidRPr="00DC3295" w:rsidRDefault="0091180D" w:rsidP="00965C90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36E44953" w14:textId="49CA5E4E" w:rsidR="0091180D" w:rsidRPr="00DC3295" w:rsidRDefault="0091180D" w:rsidP="00965C90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Diskontování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6EDDD68E" w14:textId="7AA60445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4F7D0AE2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0B175F57" w14:textId="4DFEC580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25848FB7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C2DE03A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C5FDB51" w14:textId="7CECD122" w:rsidR="00995123" w:rsidRPr="00DC3295" w:rsidRDefault="0091180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Při 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projekci budoucích peněžních toků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se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pro účely diskontování při stanovení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současné hodnoty těchto budoucích finančních toků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doporučuje použití bezrizikové úrokové míry. V případě použití jiné úrokové míry by 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tato neměla převyšovat očekávanou míru výnosů z portfolia aktiv kryjících příslušné závazky, a to včetně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zohledněn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rizik</w:t>
            </w:r>
            <w:r w:rsidR="0099512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selhání protistran. </w:t>
            </w:r>
          </w:p>
          <w:p w14:paraId="26FFD3E9" w14:textId="4E8BC9D5" w:rsidR="0091180D" w:rsidRPr="00DC3295" w:rsidRDefault="0091180D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Pokud není diskontování použito, je nutno dokázat, že se tím odhad ocitá na bezpečné straně.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F714605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7980661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E39ABE7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25FBA675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698A2E4E" w14:textId="77777777" w:rsidR="0091180D" w:rsidRPr="00DC3295" w:rsidRDefault="0091180D" w:rsidP="006A69D5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751F4378" w14:textId="17EA298C" w:rsidR="0091180D" w:rsidRPr="00DC3295" w:rsidRDefault="0091180D" w:rsidP="00C503E4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Předpoklady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4B6C4A54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146C5C8C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1C272D25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3A46C29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422D8AF4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3B3B191F" w14:textId="7906D21F" w:rsidR="0091180D" w:rsidRPr="00DC3295" w:rsidRDefault="0091180D" w:rsidP="00233408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Při </w:t>
            </w:r>
            <w:r w:rsidR="006B58E5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odhadu budoucích peněžních toků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se užívají zpravidla metody uvedené v příslušných interních směrnicích pro tvorbu technických rezerv pojišťovny při účetní závěrce na konci účetního období. Přitom je zejména nutné dohlédnout, aby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 xml:space="preserve">užité početní podklady odpovídaly nejlepší predikci budoucího vývoje škod. </w:t>
            </w:r>
          </w:p>
          <w:p w14:paraId="6838922C" w14:textId="2F5B8239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Při testování musí být zohledněny: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5D4C9286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5D9E182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1510E16A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27416C1" w14:textId="77777777" w:rsidTr="0012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15D633C5" w14:textId="77777777" w:rsidR="0091180D" w:rsidRPr="00DC3295" w:rsidRDefault="0091180D" w:rsidP="00123608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558CBBFF" w14:textId="649F9926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reálný odhad budoucích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škodních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nároků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1314FEA8" w14:textId="77777777" w:rsidR="0091180D" w:rsidRPr="00DC3295" w:rsidRDefault="0091180D" w:rsidP="00B631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277A1E6B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12EDA8DE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6D64DD8C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A99B63D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2D63A34" w14:textId="31DB9CAB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veškeré náklady spojené s existujícím portfoliem za předpokladu pokračování společnosti v podnikání (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going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concern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 a to jak relevantní získatelské, tak administrativní i likvidační náklady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F83CA23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DEE744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FEEF61F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3134C7D9" w14:textId="77777777" w:rsidTr="0012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51943F57" w14:textId="77777777" w:rsidR="0091180D" w:rsidRPr="00DC3295" w:rsidRDefault="0091180D" w:rsidP="00123608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6CCF6413" w14:textId="511625BC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budoucí inflace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škodních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nároků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6B3F248F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706A854C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41889E7C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6716924C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0E3B0A4" w14:textId="77777777" w:rsidR="0091180D" w:rsidRPr="00DC3295" w:rsidRDefault="0091180D" w:rsidP="006A69D5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FC138C0" w14:textId="012138CD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schválené legislativní změny relevantní pro výpočet výše závazků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2AB0ED1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764458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CCB8769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6DE6E15" w14:textId="77777777" w:rsidTr="0012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67F74E91" w14:textId="77777777" w:rsidR="0091180D" w:rsidRPr="00DC3295" w:rsidRDefault="0091180D" w:rsidP="00123608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158DEC2B" w14:textId="1CBEF908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by dále měl v testu zvážit: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00A9D8C9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0EEE3C1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6484D4A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256A142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D1BACED" w14:textId="77777777" w:rsidR="0091180D" w:rsidRPr="00DC3295" w:rsidRDefault="0091180D" w:rsidP="006A69D5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  <w:bookmarkStart w:id="0" w:name="_Ref433360526"/>
          </w:p>
        </w:tc>
        <w:bookmarkEnd w:id="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9C5CE79" w14:textId="59937764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trendy vývoje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škodovosti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(trendy ve frekvenci i průměrné škodě)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48ED1A5" w14:textId="77777777" w:rsidR="0091180D" w:rsidRPr="00DC3295" w:rsidRDefault="0091180D" w:rsidP="003A5B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60D910B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1820E43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6B23DC97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194FBA7" w14:textId="77777777" w:rsidR="0091180D" w:rsidRPr="00DC3295" w:rsidRDefault="0091180D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B8738CA" w14:textId="09580B2D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změny ve struktuře portfolia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D9A98CB" w14:textId="77777777" w:rsidR="0091180D" w:rsidRPr="00DC3295" w:rsidRDefault="0091180D" w:rsidP="003A5B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EE45D83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9E46C85" w14:textId="77777777" w:rsidR="0091180D" w:rsidRPr="00DC3295" w:rsidRDefault="0091180D" w:rsidP="003A5B58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361C646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E31FD56" w14:textId="77777777" w:rsidR="0091180D" w:rsidRPr="00DC3295" w:rsidRDefault="0091180D" w:rsidP="006A69D5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ED0A0B0" w14:textId="60BAAF61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možnou odlišnost chování nového obchodu a obnovených smluv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4B14E9D" w14:textId="77777777" w:rsidR="0091180D" w:rsidRPr="00DC3295" w:rsidRDefault="0091180D" w:rsidP="00B631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121AC3D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3D95369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56E72FF4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900512E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C37452D" w14:textId="74E71937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sezónnost škod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F65A5A9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9914E2F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67162C6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4C5CA420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E277E4D" w14:textId="77777777" w:rsidR="0091180D" w:rsidRPr="00DC3295" w:rsidRDefault="0091180D" w:rsidP="006A69D5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C2547EF" w14:textId="60BF5248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existenci rozdílných předpokladů pro odhad závazků z předepsaného a nepředepsaného pojistného (například v získatelských nákladech či příspěvcích do Fondu zábrany škod).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D456E52" w14:textId="77777777" w:rsidR="0091180D" w:rsidRPr="00DC3295" w:rsidRDefault="0091180D" w:rsidP="00B631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BA6191A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E1DE811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0FA43267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9113233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3BF8872" w14:textId="5C3D78F5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sezónnost předpokladů pro katastrofické škody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5E266EA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992EF41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4F17F10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797F715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92E45A1" w14:textId="77777777" w:rsidR="0091180D" w:rsidRPr="00DC3295" w:rsidRDefault="0091180D" w:rsidP="00C503E4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F31EB68" w14:textId="3D563AFA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vliv storen uvnitř pojistného období na reálnou hodnotu finančních přítoků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920DE47" w14:textId="77777777" w:rsidR="0091180D" w:rsidRPr="00DC3295" w:rsidRDefault="0091180D" w:rsidP="00B631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CFC4068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43F9DDC" w14:textId="77777777" w:rsidR="0091180D" w:rsidRPr="00DC3295" w:rsidRDefault="0091180D" w:rsidP="00B6316D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78CA155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BEECBA1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2074460F" w14:textId="302158D8" w:rsidR="0091180D" w:rsidRPr="00DC3295" w:rsidRDefault="0091180D" w:rsidP="00A1093A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•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odlišnost chování rentových škod, extrémních a katastrofických škod od škod běžných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7B05E61" w14:textId="77777777" w:rsidR="0091180D" w:rsidRPr="00DC3295" w:rsidRDefault="0091180D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4217A2B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3588FA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2D290FC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691630A3" w14:textId="77777777" w:rsidR="0091180D" w:rsidRPr="00DC3295" w:rsidRDefault="0091180D" w:rsidP="00123608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1354D9AC" w14:textId="0A5A3003" w:rsidR="0091180D" w:rsidRPr="00DC3295" w:rsidRDefault="0091180D" w:rsidP="00123608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Frekvence testování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392F6A03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6B02B65A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621A7C8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1B48CAE1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B4E337C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D7B3A67" w14:textId="479A4E73" w:rsidR="00606EB3" w:rsidRPr="00DC3295" w:rsidRDefault="0091180D" w:rsidP="00606EB3">
            <w:pPr>
              <w:spacing w:before="120" w:after="120"/>
              <w:rPr>
                <w:rFonts w:ascii="Verdana" w:hAnsi="Verdana"/>
                <w:b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Jak vyplývá z</w:t>
            </w:r>
            <w:r w:rsidR="00606EB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[2]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, výše technických rezerv musí být v každém okamžiku dostatečná do té míry, aby společnost byla schopna dostát svým </w:t>
            </w:r>
            <w:r w:rsidR="00606EB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závazkům, které </w:t>
            </w:r>
            <w:r w:rsidR="00606EB3" w:rsidRPr="00DC3295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 xml:space="preserve">vyplývají z pojistných smluv a </w:t>
            </w:r>
            <w:r w:rsidR="00606EB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které lze rozumně předpokládat</w:t>
            </w:r>
            <w:r w:rsidR="0098466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</w:t>
            </w:r>
          </w:p>
          <w:p w14:paraId="2219E3C1" w14:textId="499EBA41" w:rsidR="0091180D" w:rsidRPr="00DC3295" w:rsidRDefault="0091180D" w:rsidP="006B58E5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Zákon ani související vyhlášky takto vymezenou postačitelnost rezerv podrobněji neupravují. Test postačitelnosti se provádí vždy minimálně jednou ročně k okamžiku roční účetní závěrky. V případě provádění testu k jinému datu než k datu roční účetní závěrky je nutné adekvátně zohlednit případné metodické rozdíly vyplývající z neukončeného účetního období.   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643366F" w14:textId="17BB779D" w:rsidR="0091180D" w:rsidRPr="00DC3295" w:rsidRDefault="00606EB3" w:rsidP="001070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Novela 502/2002 sb.: § 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B8C1990" w14:textId="49040B6E" w:rsidR="00AE6AAF" w:rsidRPr="00DC3295" w:rsidRDefault="00AE6AAF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Požadavek provádění testu postačitelnosti rezerv souvisí v ročním účetním cyklem. V případě kratších účetních cyklů je vhodné tento test dělat častěji.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CB0C26C" w14:textId="12B51C1C" w:rsidR="0091180D" w:rsidRPr="00DC3295" w:rsidRDefault="00AE6AAF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Je nutno vnímat rozdíl mezi celým účetním obdobím a jeho rozpady na kratší úseky z důvodu monitoringu/reportingu výsledků. </w:t>
            </w:r>
          </w:p>
          <w:p w14:paraId="6FA05294" w14:textId="77777777" w:rsidR="0091180D" w:rsidRPr="00DC3295" w:rsidRDefault="0091180D" w:rsidP="00EE6071">
            <w:p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</w:p>
          <w:p w14:paraId="78BD8FF6" w14:textId="0DE8713E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717D3DAB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529BCC9D" w14:textId="28A13A31" w:rsidR="0091180D" w:rsidRPr="00DC3295" w:rsidRDefault="0091180D" w:rsidP="00123608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3E0589B0" w14:textId="7799A454" w:rsidR="0091180D" w:rsidRPr="00DC3295" w:rsidRDefault="0091180D" w:rsidP="00123608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Zjednodušení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757FF8EE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497DB40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76713EA5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1180D" w:rsidRPr="00DC3295" w14:paraId="117803E4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CB3C187" w14:textId="77777777" w:rsidR="0091180D" w:rsidRPr="00DC3295" w:rsidRDefault="0091180D" w:rsidP="00107049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F156C9B" w14:textId="1041B238" w:rsidR="00C22713" w:rsidRPr="00DC3295" w:rsidRDefault="00C22713" w:rsidP="002955F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Tato směrnice 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připouští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zjednodušení dvojího typu.</w:t>
            </w:r>
          </w:p>
          <w:p w14:paraId="31B478EA" w14:textId="2356D9A0" w:rsidR="00635174" w:rsidRPr="00DC3295" w:rsidRDefault="00C22713" w:rsidP="002955F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 prvním případě 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se jedná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 zjednodušení 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pro 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výpočetní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segment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y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 relativně malými objemy závazků či 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 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objektivními 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nedostatky v datech, na kterých není rozumné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samostatně</w:t>
            </w:r>
            <w:r w:rsidR="00635174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aplikovat pojistně-m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atematické metody. V těchto 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případech lze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například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zvolit méně podrobnou</w:t>
            </w:r>
            <w:r w:rsidR="003F57E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segmentaci</w:t>
            </w:r>
            <w:r w:rsidR="003F57E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než je vyžadováno v bodě 6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</w:t>
            </w:r>
            <w:r w:rsidR="003F57E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 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tak například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 úkor relativně malé ztráty homogenity sloučit tyto segmenty s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 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jinými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. V těchto případech lze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použít</w:t>
            </w:r>
            <w:r w:rsidR="00940422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i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jiný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aktuárský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úsudek k</w:t>
            </w:r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 posouzení přiměřenosti. Při takovémto zjednodušení by měl </w:t>
            </w:r>
            <w:proofErr w:type="spellStart"/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="008227F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odhadnout a zdokumentovat jeho dopad.</w:t>
            </w:r>
          </w:p>
          <w:p w14:paraId="47145459" w14:textId="14F453E0" w:rsidR="0091180D" w:rsidRPr="00DC3295" w:rsidRDefault="008227FF" w:rsidP="003F57EF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Druhým typem zjednodušení je případ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,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kdy</w:t>
            </w:r>
            <w:r w:rsidR="003F57E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3825B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prokazatelně </w:t>
            </w:r>
            <w:r w:rsidR="0091180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opatrné zjednodušení dokazuje postačitelnost rezervy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.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 tomto případě je </w:t>
            </w:r>
            <w:r w:rsidR="003825B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mož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né takovéto zjednodušení použít bez nutného vyčíslení jeho dopadu.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15917EE" w14:textId="77777777" w:rsidR="0091180D" w:rsidRPr="00DC3295" w:rsidRDefault="003825B0" w:rsidP="003825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lastRenderedPageBreak/>
              <w:t xml:space="preserve">Mezinárodní směrnice </w:t>
            </w:r>
            <w:proofErr w:type="spellStart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>aktuárů</w:t>
            </w:r>
            <w:proofErr w:type="spellEnd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 xml:space="preserve"> – podklad pro zjednodušení</w:t>
            </w:r>
          </w:p>
          <w:p w14:paraId="71F4C15B" w14:textId="363666B8" w:rsidR="00940422" w:rsidRPr="00DC3295" w:rsidRDefault="00BE65E4" w:rsidP="003825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IAN 6 (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international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actuarial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note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6</w:t>
            </w:r>
            <w:r w:rsidR="00A93A40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bod 4.1.4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5AAB6E5" w14:textId="44AB74A2" w:rsidR="0091180D" w:rsidRPr="00DC3295" w:rsidRDefault="00940422" w:rsidP="00940422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lastRenderedPageBreak/>
              <w:t xml:space="preserve">Třetí odstavec: není třeba </w:t>
            </w:r>
            <w:r w:rsidR="001028A5">
              <w:rPr>
                <w:rFonts w:ascii="Verdana" w:hAnsi="Verdana"/>
                <w:bCs/>
                <w:sz w:val="20"/>
                <w:szCs w:val="20"/>
                <w:lang w:val="cs-CZ"/>
              </w:rPr>
              <w:t>přesně vyčísli</w:t>
            </w:r>
            <w:bookmarkStart w:id="1" w:name="_GoBack"/>
            <w:bookmarkEnd w:id="1"/>
            <w:r w:rsidR="00E33397"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 xml:space="preserve">t </w:t>
            </w:r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>„</w:t>
            </w:r>
            <w:proofErr w:type="spellStart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>best</w:t>
            </w:r>
            <w:proofErr w:type="spellEnd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>estimate</w:t>
            </w:r>
            <w:proofErr w:type="spellEnd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 xml:space="preserve">“, pokud i při zřejmě opatrném odhadu je </w:t>
            </w:r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lastRenderedPageBreak/>
              <w:t xml:space="preserve">výsledek </w:t>
            </w:r>
            <w:proofErr w:type="spellStart"/>
            <w:proofErr w:type="gramStart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>LATu</w:t>
            </w:r>
            <w:proofErr w:type="spellEnd"/>
            <w:proofErr w:type="gramEnd"/>
            <w:r w:rsidRPr="00DC3295">
              <w:rPr>
                <w:rFonts w:ascii="Verdana" w:hAnsi="Verdana"/>
                <w:bCs/>
                <w:sz w:val="20"/>
                <w:szCs w:val="20"/>
                <w:lang w:val="cs-CZ"/>
              </w:rPr>
              <w:t xml:space="preserve"> 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D30D142" w14:textId="57CA5DD6" w:rsidR="003F57EF" w:rsidRPr="00DC3295" w:rsidRDefault="008227FF" w:rsidP="003F57EF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lastRenderedPageBreak/>
              <w:t>Objektivním nedostatkem v datech je například krátká historie odvětví v pojišťovně, nikoliv však nízká datová kvalita.</w:t>
            </w:r>
            <w:r w:rsidR="003F57EF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Zjednodušení z důvodu objektivního nedostatku </w:t>
            </w:r>
            <w:r w:rsidR="003F57EF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lastRenderedPageBreak/>
              <w:t>dat se může týkat i například nemateriální rezervy na prémie a slevy či ojedinělých rent z obecné odpovědnosti a podobných případů, kdy nelze rozumně aplikovat statisticko-pojistné metody.</w:t>
            </w:r>
          </w:p>
          <w:p w14:paraId="11374C55" w14:textId="41DD65BC" w:rsidR="008227FF" w:rsidRPr="00DC3295" w:rsidRDefault="003F57EF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Použití </w:t>
            </w:r>
            <w:proofErr w:type="spellStart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aktuárského</w:t>
            </w:r>
            <w:proofErr w:type="spellEnd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úsudku vždy</w:t>
            </w:r>
            <w:r w:rsidR="00366598"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vyžaduje jeho zdůvodnění.</w:t>
            </w:r>
          </w:p>
        </w:tc>
      </w:tr>
      <w:tr w:rsidR="0091180D" w:rsidRPr="00DC3295" w14:paraId="07CB03A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4439FF58" w14:textId="13F43746" w:rsidR="0091180D" w:rsidRPr="00DC3295" w:rsidRDefault="0091180D" w:rsidP="00123608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0005B1AF" w14:textId="169CCF37" w:rsidR="0091180D" w:rsidRPr="00DC3295" w:rsidRDefault="0091180D" w:rsidP="00123608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Definice postačitelnosti a kroky při nepostačitelnosti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757E2A76" w14:textId="77777777" w:rsidR="0091180D" w:rsidRPr="00DC3295" w:rsidRDefault="0091180D" w:rsidP="001070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042FF14D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3E48BEC3" w14:textId="77777777" w:rsidR="0091180D" w:rsidRPr="00DC3295" w:rsidRDefault="0091180D" w:rsidP="00107049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354E5D6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256E13A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BCEB39F" w14:textId="1A84DE93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Účetní neživotní technické rezervy jsou v daném segmentu (viz bod 6a) z definice nepostačitelné, pokud je účetní hodnota pojistných závazků v tomto segmentu (definice A v bodě 3) nižší, nežli odhad budoucích peněžních toků plynoucí z uzavřených pojistných smluv v tomto segmentu (definice B v bodě 3</w:t>
            </w:r>
            <w:r w:rsidR="00DE0D05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</w:t>
            </w:r>
          </w:p>
          <w:p w14:paraId="2A1A428D" w14:textId="4F2F1773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Postačitelnost stačí vyhodnocovat souhrnně na segmentech definovaných v bodě 6a), ačkoliv detail</w:t>
            </w:r>
            <w:r w:rsidR="005A00D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zobrazení výsledků pro účely dokumentace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může být dle bodu 6</w:t>
            </w:r>
            <w:r w:rsidR="005A00D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</w:t>
            </w:r>
            <w:r w:rsidR="00727A9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této směrnice vyšší. </w:t>
            </w:r>
          </w:p>
          <w:p w14:paraId="016C8DF8" w14:textId="765B7482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 případě, že test prokáže nepostačitelnost účetních rezerv vzhledem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k očekávaným peněžním toků</w:t>
            </w:r>
            <w:r w:rsidR="005A00D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na úrovni jednoho nebo více segmentů definovaných v bodě 6a), je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povinen upozornit společnost a navrhn</w:t>
            </w:r>
            <w:r w:rsidR="00FD067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out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opatření v návaznosti na toto zjištění (např. navýšení rezerv, tvorba jiné rezervy, snížení časového rozlišení pořizovacích nákladů) v souladu s účetní politikou společnosti.  </w:t>
            </w:r>
          </w:p>
          <w:p w14:paraId="3C8F1B4A" w14:textId="2D91878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 případě, že nepostačitelnost vychází pouze na </w:t>
            </w:r>
            <w:proofErr w:type="gram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úrovni </w:t>
            </w:r>
            <w:r w:rsidR="00C7026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dílčích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výpočetních segmentů, </w:t>
            </w:r>
            <w:r w:rsidR="00477CF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jedná se o závažné zjištění, které by mělo být součástí zprávy o testu pos</w:t>
            </w:r>
            <w:r w:rsidR="002B20C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tačitelnosti rezerv (viz bod 14</w:t>
            </w:r>
            <w:r w:rsidR="00477CF6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).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14:paraId="2A0B2837" w14:textId="5CA367D9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Je-li výsledkem</w:t>
            </w:r>
            <w:r w:rsidR="00727A9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testu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postačitelnost rezerv, nedochází ke snížení neživotních technických rezerv.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9129E06" w14:textId="5F3E7D63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lastRenderedPageBreak/>
              <w:t xml:space="preserve">Článek 4 SAP1 – komunikace </w:t>
            </w:r>
            <w:proofErr w:type="spellStart"/>
            <w:r w:rsidRPr="00DC3295">
              <w:rPr>
                <w:rFonts w:ascii="Verdana" w:hAnsi="Verdana"/>
                <w:color w:val="000000"/>
                <w:sz w:val="20"/>
                <w:szCs w:val="20"/>
                <w:lang w:val="cs-CZ"/>
              </w:rPr>
              <w:t>aktuára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A451011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3F59560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Doplnit – koho informovat - </w:t>
            </w:r>
            <w:proofErr w:type="spellStart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aktuárskou</w:t>
            </w:r>
            <w:proofErr w:type="spellEnd"/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 funkci, produktové útvary, vedení společnosti?</w:t>
            </w:r>
          </w:p>
          <w:p w14:paraId="7F704941" w14:textId="77777777" w:rsidR="005A00DF" w:rsidRPr="00DC3295" w:rsidRDefault="005A00DF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  <w:p w14:paraId="1F783551" w14:textId="77777777" w:rsidR="005A00DF" w:rsidRPr="00DC3295" w:rsidRDefault="00366598" w:rsidP="00A55963">
            <w:p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Nepostačitelnost má tedy dopad do účetnictví pouze tehdy, pokud se prokážou rezervy nedostatečné jako celek.</w:t>
            </w:r>
          </w:p>
          <w:p w14:paraId="61A214C1" w14:textId="77777777" w:rsidR="00DE0D05" w:rsidRPr="00DC3295" w:rsidRDefault="00DE0D05" w:rsidP="00A55963">
            <w:pPr>
              <w:spacing w:before="120" w:after="120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</w:p>
          <w:p w14:paraId="36862562" w14:textId="538CB8F5" w:rsidR="00DE0D05" w:rsidRPr="00DC3295" w:rsidRDefault="00DE0D05" w:rsidP="00DE0D05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Kritéria (segmentace dle 6a a rizikovost odhadu peněžních toků dle bodu 5) </w:t>
            </w:r>
            <w:r w:rsidR="00C900B3"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by měl</w:t>
            </w: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 xml:space="preserve"> být dána předem.</w:t>
            </w:r>
          </w:p>
        </w:tc>
      </w:tr>
      <w:tr w:rsidR="00A55963" w:rsidRPr="00DC3295" w14:paraId="09282899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3FBF4BAD" w14:textId="77777777" w:rsidR="00A55963" w:rsidRPr="00DC3295" w:rsidRDefault="00A55963" w:rsidP="00A55963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28C6FE6C" w14:textId="2DCF1619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Požadavky na dokumentaci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751B2F27" w14:textId="77777777" w:rsidR="00A55963" w:rsidRPr="00DC3295" w:rsidRDefault="00A55963" w:rsidP="00A55963">
            <w:pPr>
              <w:spacing w:before="120"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2EECD4AB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4EA7745E" w14:textId="3DD594D1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493FDCD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38C33D27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4B87D9A" w14:textId="58A07F18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Výsledkem testu by měla být písemná zpráva obsahující výrok o (ne)postačitelnosti rezerv</w:t>
            </w:r>
            <w:r w:rsidR="00C7026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dokumentaci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výsledků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a způsobu jejich testování.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Dokumentace by měla být v souladu s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článkem</w:t>
            </w:r>
            <w:proofErr w:type="spellEnd"/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4 v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SAP 1 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[6].</w:t>
            </w:r>
          </w:p>
          <w:p w14:paraId="350DD6AA" w14:textId="12DE77B0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EF0F4E6" w14:textId="515998C8" w:rsidR="00A55963" w:rsidRPr="00DC3295" w:rsidRDefault="006B61D7" w:rsidP="00A55963">
            <w:pPr>
              <w:spacing w:before="120" w:after="12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Vychází i z SAP1, 4čl. Komunikace 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aktuára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CEFFDCA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DE7E6F5" w14:textId="2345F73B" w:rsidR="007050CD" w:rsidRPr="00DC3295" w:rsidRDefault="007050CD" w:rsidP="00C900B3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1F359773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6B10005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F5A6B46" w14:textId="6A7DF3DA" w:rsidR="009045AF" w:rsidRPr="00DC3295" w:rsidRDefault="009045AF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Součástí dokumentace výsledků testu by mělo být: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AD243C1" w14:textId="77777777" w:rsidR="009045AF" w:rsidRPr="00DC3295" w:rsidRDefault="009045AF" w:rsidP="00A55963">
            <w:pPr>
              <w:spacing w:before="120"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F7E2F75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D93AEF2" w14:textId="77777777" w:rsidR="009045AF" w:rsidRPr="00DC3295" w:rsidRDefault="00E33397" w:rsidP="006B61D7">
            <w:pPr>
              <w:spacing w:before="120" w:after="120"/>
              <w:ind w:right="-108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Příprava, kontrola a odevzdání testu a jeho dokumentace by měly proběhnout v souladu s principy řídícího kontrolního systému společnosti</w:t>
            </w:r>
            <w:r w:rsidR="00C900B3"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.</w:t>
            </w:r>
          </w:p>
          <w:p w14:paraId="36EF8E5F" w14:textId="457F007C" w:rsidR="00DC3295" w:rsidRPr="00DC3295" w:rsidRDefault="00DC3295" w:rsidP="006B61D7">
            <w:pPr>
              <w:spacing w:before="120" w:after="120"/>
              <w:ind w:right="-108"/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color w:val="000000"/>
                <w:sz w:val="20"/>
                <w:szCs w:val="20"/>
                <w:lang w:val="cs-CZ"/>
              </w:rPr>
              <w:t>Společnost je zadavatelem testu ve smyslu SAP1.</w:t>
            </w:r>
          </w:p>
        </w:tc>
      </w:tr>
      <w:tr w:rsidR="009045AF" w:rsidRPr="00DC3295" w14:paraId="36C12E32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7813BAF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3DB5A68" w14:textId="23A8BB0C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a) vyjádření ke všem závažným zjištěním v průběhu testování,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127F33E" w14:textId="77777777" w:rsidR="009045AF" w:rsidRPr="00DC3295" w:rsidRDefault="009045AF" w:rsidP="00A55963">
            <w:pPr>
              <w:spacing w:before="120" w:after="12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4AB527C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B884B64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2A441031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FF42483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F7FE6FE" w14:textId="03D3DE35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b)</w:t>
            </w:r>
            <w:r w:rsidR="00727A9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kvalitativní zhodnocení výpočetního modelu pro testování postačitelnosti a jeho rizik,</w:t>
            </w:r>
          </w:p>
          <w:p w14:paraId="3429A47C" w14:textId="77777777" w:rsidR="009045AF" w:rsidRPr="00DC3295" w:rsidRDefault="009045AF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C97FC4B" w14:textId="77777777" w:rsidR="009045AF" w:rsidRPr="00DC3295" w:rsidRDefault="009045AF" w:rsidP="00A55963">
            <w:pPr>
              <w:spacing w:before="120"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DB69B85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17901BA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4E9628E7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F6717C9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10868D7" w14:textId="0DB336F7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c) </w:t>
            </w:r>
            <w:r w:rsidR="00727A9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zhodnocení 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platnost</w:t>
            </w:r>
            <w:r w:rsidR="00727A9C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předpokladů (bod 10) včetně citlivosti výsledku (postačitelnost ano/ne) na jejich změnu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AAACC76" w14:textId="1268D6F9" w:rsidR="009045AF" w:rsidRPr="00DC3295" w:rsidRDefault="00542F1B" w:rsidP="00A55963">
            <w:pPr>
              <w:spacing w:before="120" w:after="12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Například vliv diskontování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57281DD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4ECE190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73455283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B40976F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7FE64E0" w14:textId="05EAC6A7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d) způsob alokace nákladů,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570C043" w14:textId="77777777" w:rsidR="009045AF" w:rsidRPr="00DC3295" w:rsidRDefault="009045AF" w:rsidP="00A55963">
            <w:pPr>
              <w:spacing w:before="120"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18CB0D7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D691486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0D6D1039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CE987A7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7605BE19" w14:textId="4FDA89BA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e) použitá zjednodušení (bod 12),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55ABA45" w14:textId="77777777" w:rsidR="009045AF" w:rsidRPr="00DC3295" w:rsidRDefault="009045AF" w:rsidP="00A55963">
            <w:pPr>
              <w:spacing w:before="120" w:after="12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4A8C635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9C88A44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7F6C38CD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3047D30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E433988" w14:textId="1FF9DE86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f) vyjádření k riziku latentních událostí (ENID),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402FEDC" w14:textId="77777777" w:rsidR="009045AF" w:rsidRPr="00DC3295" w:rsidRDefault="009045AF" w:rsidP="00A55963">
            <w:pPr>
              <w:spacing w:before="120" w:after="12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1F81059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497D250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9045AF" w:rsidRPr="00DC3295" w14:paraId="3AC36330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6B5D349" w14:textId="77777777" w:rsidR="009045AF" w:rsidRPr="00DC3295" w:rsidRDefault="009045AF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877508B" w14:textId="5FF39DCE" w:rsidR="009045AF" w:rsidRPr="00DC3295" w:rsidRDefault="009045AF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g) zhodnocení datové kvality.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459A0BD" w14:textId="77777777" w:rsidR="009045AF" w:rsidRPr="00DC3295" w:rsidRDefault="009045AF" w:rsidP="00A55963">
            <w:pPr>
              <w:spacing w:before="120" w:after="12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D784DFF" w14:textId="77777777" w:rsidR="009045AF" w:rsidRPr="00DC3295" w:rsidRDefault="009045AF" w:rsidP="00A55963">
            <w:pPr>
              <w:spacing w:before="120" w:after="120"/>
              <w:ind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B551995" w14:textId="77777777" w:rsidR="009045AF" w:rsidRPr="00DC3295" w:rsidRDefault="009045AF" w:rsidP="006B61D7">
            <w:pPr>
              <w:spacing w:before="120" w:after="120"/>
              <w:ind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44FC6052" w14:textId="77777777" w:rsidTr="00123608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64AA1F04" w14:textId="493AD891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638E4604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Metodika testu by měla být zdokumentována v písemné formě, a to včetně:</w:t>
            </w:r>
          </w:p>
          <w:p w14:paraId="6D74C773" w14:textId="45BADCE2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34146F4E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0EFEC5CD" w14:textId="177C6577" w:rsidR="00A55963" w:rsidRPr="00DC3295" w:rsidRDefault="00A55963" w:rsidP="00A55963">
            <w:pPr>
              <w:spacing w:before="120" w:after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5EF7015E" w14:textId="6EEC2D11" w:rsidR="00A55963" w:rsidRPr="00DC3295" w:rsidRDefault="00FB6AE1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>Odkaz na předpoklad existence interní směrnice a ŘKS</w:t>
            </w:r>
          </w:p>
        </w:tc>
      </w:tr>
      <w:tr w:rsidR="00A55963" w:rsidRPr="00DC3295" w14:paraId="0D61A4C0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107F638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97D804F" w14:textId="1007DC1F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metodiky odhadu hodnoty budoucích peněžních toků</w:t>
            </w:r>
            <w:r w:rsidR="009045AF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(bod 5)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použitého v testu (tzn. včetně případné rizikové přirážky</w:t>
            </w:r>
            <w:r w:rsidR="00532E5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, je-li v odhadu obsažena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), včetně zvolené segmentace pro výpočet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(6a)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EB038DA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9820172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B7E752B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4286CB2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5FA2114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7D3F979" w14:textId="3FD77BDD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metodiky 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stanovení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předpokladů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lastRenderedPageBreak/>
              <w:t>(10)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A165E84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734B357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23B3335" w14:textId="1D38987A" w:rsidR="00A55963" w:rsidRPr="00DC3295" w:rsidRDefault="00A55963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AB5036C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DDEA67A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1A590E8" w14:textId="48B7B6DC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c)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>krit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é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ria vyhodnocení postačitelnosti, včetně segmentace použité v tomto vyhodnocení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7B4CE0E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E51A44A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D185D02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62B142A9" w14:textId="77777777" w:rsidTr="00123608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6D511D13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21613751" w14:textId="4831FACE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d)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postupu, který </w:t>
            </w:r>
            <w:r w:rsidR="00034C6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byl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případně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uplatněn 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k</w:t>
            </w:r>
            <w:r w:rsidR="00532E5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 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odstranění</w:t>
            </w:r>
            <w:r w:rsidR="00532E58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FB6AE1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ne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postačitelnosti rezerv, včetně metod určení výše rozpuštění odložených pořizovacích nákladů či výše dotvářené rezervy vyrovnávající tuto nepostačitelnost,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2993EB9B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2AC2503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7B8CC6BD" w14:textId="76776A5C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74FF3470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5572CEE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C6370A4" w14:textId="42E182FA" w:rsidR="00A55963" w:rsidRPr="00DC3295" w:rsidRDefault="00A55963" w:rsidP="009045AF">
            <w:pPr>
              <w:spacing w:before="120" w:after="120"/>
              <w:ind w:left="3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e)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ab/>
              <w:t xml:space="preserve">včetně 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popisu</w:t>
            </w: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r w:rsidR="007050CD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provedených změn metodiky testu.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DE516AC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8A3AF2E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A846AB9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EF916B7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D8BA8D7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C145CE0" w14:textId="5A53207A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Každý vykonavatel testu postačitelnosti rezerv by se měl vyjádřit, </w:t>
            </w:r>
            <w:proofErr w:type="gram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zda-</w:t>
            </w:r>
            <w:proofErr w:type="spellStart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li</w:t>
            </w:r>
            <w:proofErr w:type="spell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test</w:t>
            </w:r>
            <w:proofErr w:type="gramEnd"/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vykonal v souladu s touto směrnicí, a případné odchylky od směrnice je povinen popsat v kvalitativní části testu.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43BE899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9570CA6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B8D18B1" w14:textId="13526078" w:rsidR="00A55963" w:rsidRPr="00DC3295" w:rsidRDefault="00A55963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6DED60D3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DAEEF3" w:themeFill="accent5" w:themeFillTint="33"/>
          </w:tcPr>
          <w:p w14:paraId="14E95136" w14:textId="77777777" w:rsidR="00A55963" w:rsidRPr="00DC3295" w:rsidRDefault="00A55963" w:rsidP="00A55963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DAEEF3" w:themeFill="accent5" w:themeFillTint="33"/>
          </w:tcPr>
          <w:p w14:paraId="55DD3937" w14:textId="79D96150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  <w:t>Legislativa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DAEEF3" w:themeFill="accent5" w:themeFillTint="33"/>
          </w:tcPr>
          <w:p w14:paraId="22E8E074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DAEEF3" w:themeFill="accent5" w:themeFillTint="33"/>
          </w:tcPr>
          <w:p w14:paraId="5AF78414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DAEEF3" w:themeFill="accent5" w:themeFillTint="33"/>
          </w:tcPr>
          <w:p w14:paraId="6492C71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9840303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6A86ED2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6B044FB" w14:textId="237743B5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[1] Zákon č. 563/1991 Sb., o účetnictví, ve znění pozdějších předpisů (dále jen „zákon o účetnictví“)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3533117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98F2C60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4A643CD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76A3461C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38746760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4AEAD2F" w14:textId="70E8625D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[2] Vyhláška č. 502/2002 Sb., kterou se provádějí některá ustanovení zákona č. 563/1991 Sb., o účetnictví, ve znění pozdějších předpisů, pro účetní jednotky, které jsou pojišťovnami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C36BFB7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B658893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13558FB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7FE7CA86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0C59176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66A59D2" w14:textId="53BFCF41" w:rsidR="00A55963" w:rsidRPr="00DC3295" w:rsidRDefault="00A55963" w:rsidP="00A5596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cs-CZ"/>
              </w:rPr>
              <w:t xml:space="preserve">[3] Zákon č. 277/2009 Sb., o pojišťovnictví, ve znění pozdějších </w:t>
            </w:r>
            <w:r w:rsidRPr="00DC3295"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cs-CZ"/>
              </w:rPr>
              <w:lastRenderedPageBreak/>
              <w:t>předpisů (dále jen „zákon o pojišťovnictví“)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1904B42B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480982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45A1BC3" w14:textId="75EE6876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t xml:space="preserve">Nahradit novým zákonem až bude k dispozici (a to asi nebude do </w:t>
            </w:r>
            <w:r w:rsidRPr="00DC3295"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  <w:lastRenderedPageBreak/>
              <w:t>konce roku)</w:t>
            </w:r>
          </w:p>
        </w:tc>
      </w:tr>
      <w:tr w:rsidR="00A55963" w:rsidRPr="00DC3295" w14:paraId="721CAA14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A5169D7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2056645A" w14:textId="007ECD74" w:rsidR="00A55963" w:rsidRPr="00DC3295" w:rsidRDefault="00A55963" w:rsidP="00A55963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[4] Zákon č. 168/1999 Sb., o pojištění odpovědnosti za škodu způsobenou provozem vozidla, ve znění pozdějších předpisů (dále jen „zákon o povinném ručení“)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D54A54A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355E47F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312BA31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4A900B8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0B5C3B7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12A54B0" w14:textId="71FADE44" w:rsidR="00A55963" w:rsidRPr="00DC3295" w:rsidRDefault="00727A9C" w:rsidP="00B721D7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[5] </w:t>
            </w:r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International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Financial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Reporting Standard 4, vydaný International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Accounting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Standards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Board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(„</w:t>
            </w:r>
            <w:r w:rsidR="00A5596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IFRS 4</w:t>
            </w:r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“)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FFF92EB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AB416F1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9E0EB21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C371E6B" w14:textId="77777777" w:rsidTr="0012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shd w:val="clear" w:color="auto" w:fill="auto"/>
          </w:tcPr>
          <w:p w14:paraId="328D615F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  <w:shd w:val="clear" w:color="auto" w:fill="auto"/>
          </w:tcPr>
          <w:p w14:paraId="66249FC9" w14:textId="14DAB004" w:rsidR="00A55963" w:rsidRPr="00DC3295" w:rsidRDefault="00727A9C" w:rsidP="00B721D7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[6] </w:t>
            </w:r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International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Accounting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Standard </w:t>
            </w:r>
            <w:r w:rsidR="00A5596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37</w:t>
            </w:r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, vydaný International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Accounting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Standards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Board</w:t>
            </w:r>
            <w:proofErr w:type="spellEnd"/>
            <w:r w:rsidR="00B721D7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(„IAS 37“)</w:t>
            </w:r>
            <w:r w:rsidR="00A55963"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  <w:shd w:val="clear" w:color="auto" w:fill="auto"/>
          </w:tcPr>
          <w:p w14:paraId="2612C48D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  <w:shd w:val="clear" w:color="auto" w:fill="auto"/>
          </w:tcPr>
          <w:p w14:paraId="390B299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  <w:shd w:val="clear" w:color="auto" w:fill="auto"/>
          </w:tcPr>
          <w:p w14:paraId="7C4773E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7DB5653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996C81C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887C0D3" w14:textId="7EA72658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  <w:r w:rsidRPr="00DC3295"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  <w:t>[6] SAP1</w:t>
            </w: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4AFD32A6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E8CD58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BE8AA55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0C66C1A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48B60A7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207D0D8" w14:textId="079A5FD3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0E3B0B6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9FED91D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0DBF15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648C8D5D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72DDE97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25C10E3A" w14:textId="621648FC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7A4B8E36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F9BAC95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238B535" w14:textId="0BFAC564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4AD1999F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F182430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C314BDC" w14:textId="2E7338A3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A380BAA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324634F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26028C6B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75337FD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5FF54CE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0F656032" w14:textId="735A4985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F280D38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E8FF9E0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4721316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4B1BF4EB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E97CEA3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10DF0202" w14:textId="44EBEB8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65CC272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F9C6056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D28A3A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1C6E822D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A8FC9E5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9410698" w14:textId="47A33971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5EA6DC18" w14:textId="77777777" w:rsidR="00A55963" w:rsidRPr="00DC3295" w:rsidRDefault="00A55963" w:rsidP="00A55963">
            <w:pPr>
              <w:spacing w:before="120" w:after="120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2566D9E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08B82BA1" w14:textId="77777777" w:rsidR="00A55963" w:rsidRPr="00DC3295" w:rsidRDefault="00A55963" w:rsidP="00A55963">
            <w:pPr>
              <w:spacing w:before="120" w:after="120"/>
              <w:ind w:left="360" w:right="-108"/>
              <w:rPr>
                <w:rFonts w:ascii="Verdana" w:hAnsi="Verdana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7CC51B8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684C526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E8C239D" w14:textId="430A59CB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13F0B97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0AAC5343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002D5AF" w14:textId="12674FC1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35EAFF16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5467F40E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30AB2B9" w14:textId="206B6985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3C7743CA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46707B64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43A9174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306031F0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1348B0B5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6AFCEB1" w14:textId="64A97841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1994C53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7111AE7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4E5F12C7" w14:textId="23FC9DEC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FA0391E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75688F43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474CFDB1" w14:textId="5E15E3A6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6FAD4EFB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66BBF1A9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5332D19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77F32239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20BC1FDF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6C1F7E08" w14:textId="3B4764B2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F32F8D0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317FF970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1591082B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2C0C4B3F" w14:textId="77777777" w:rsidTr="00965C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4574E549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308CEFAC" w14:textId="18D452C5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29D35E45" w14:textId="77777777" w:rsidR="00A55963" w:rsidRPr="00DC3295" w:rsidRDefault="00A55963" w:rsidP="00A5596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2CD44D2B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7A124C3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3BB0CAD1" w14:textId="77777777" w:rsidTr="00965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6EAF73C5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5BF93C22" w14:textId="6FFE24C2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384D007" w14:textId="77777777" w:rsidR="00A55963" w:rsidRPr="00DC3295" w:rsidRDefault="00A55963" w:rsidP="00A5596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192D50B2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7A7D8052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  <w:tr w:rsidR="00A55963" w:rsidRPr="00DC3295" w14:paraId="57DBE990" w14:textId="77777777" w:rsidTr="00965C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</w:tcPr>
          <w:p w14:paraId="086185AD" w14:textId="77777777" w:rsidR="00A55963" w:rsidRPr="00DC3295" w:rsidRDefault="00A55963" w:rsidP="00A55963">
            <w:pPr>
              <w:spacing w:before="120" w:after="120"/>
              <w:ind w:right="-108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pct"/>
          </w:tcPr>
          <w:p w14:paraId="2051F7D8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644" w:type="pct"/>
            <w:tcBorders>
              <w:right w:val="single" w:sz="8" w:space="0" w:color="4BACC6" w:themeColor="accent5"/>
            </w:tcBorders>
          </w:tcPr>
          <w:p w14:paraId="039DE394" w14:textId="77777777" w:rsidR="00A55963" w:rsidRPr="00DC3295" w:rsidRDefault="00A55963" w:rsidP="00A55963">
            <w:pPr>
              <w:spacing w:before="120" w:after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pct"/>
          </w:tcPr>
          <w:p w14:paraId="5B304A87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Cs w:val="0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pct"/>
            <w:tcBorders>
              <w:left w:val="single" w:sz="8" w:space="0" w:color="4BACC6" w:themeColor="accent5"/>
            </w:tcBorders>
          </w:tcPr>
          <w:p w14:paraId="66A80BDC" w14:textId="77777777" w:rsidR="00A55963" w:rsidRPr="00DC3295" w:rsidRDefault="00A55963" w:rsidP="00A55963">
            <w:pPr>
              <w:spacing w:before="120" w:after="120"/>
              <w:rPr>
                <w:rFonts w:ascii="Verdana" w:hAnsi="Verdana"/>
                <w:b w:val="0"/>
                <w:bCs w:val="0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9C0FB5" w14:textId="77777777" w:rsidR="00BA558A" w:rsidRPr="00DC3295" w:rsidRDefault="00BA558A" w:rsidP="00107049">
      <w:pPr>
        <w:rPr>
          <w:rFonts w:ascii="Verdana" w:hAnsi="Verdana"/>
          <w:sz w:val="20"/>
          <w:szCs w:val="20"/>
        </w:rPr>
      </w:pPr>
    </w:p>
    <w:p w14:paraId="1F9EAA09" w14:textId="77777777" w:rsidR="00A13A31" w:rsidRPr="00DC3295" w:rsidRDefault="00A13A31" w:rsidP="00A13A31">
      <w:pPr>
        <w:rPr>
          <w:rFonts w:ascii="Verdana" w:hAnsi="Verdana"/>
          <w:sz w:val="20"/>
          <w:szCs w:val="20"/>
          <w:lang w:val="cs-CZ"/>
        </w:rPr>
      </w:pPr>
    </w:p>
    <w:p w14:paraId="24EDEF91" w14:textId="77777777" w:rsidR="00A13A31" w:rsidRPr="00DC3295" w:rsidRDefault="00A13A31" w:rsidP="00A13A31">
      <w:pPr>
        <w:rPr>
          <w:rFonts w:ascii="Verdana" w:hAnsi="Verdana"/>
          <w:sz w:val="20"/>
          <w:szCs w:val="20"/>
          <w:lang w:val="cs-CZ"/>
        </w:rPr>
      </w:pPr>
      <w:r w:rsidRPr="00DC3295">
        <w:rPr>
          <w:rFonts w:ascii="Verdana" w:hAnsi="Verdana"/>
          <w:sz w:val="20"/>
          <w:szCs w:val="20"/>
          <w:lang w:val="cs-CZ"/>
        </w:rPr>
        <w:t>Možné změny:</w:t>
      </w:r>
    </w:p>
    <w:p w14:paraId="570C4E6A" w14:textId="77777777" w:rsidR="00A13A31" w:rsidRPr="00DC3295" w:rsidRDefault="00A13A31" w:rsidP="00A13A31">
      <w:pPr>
        <w:rPr>
          <w:rFonts w:ascii="Verdana" w:hAnsi="Verdana"/>
          <w:sz w:val="20"/>
          <w:szCs w:val="20"/>
          <w:lang w:val="cs-CZ"/>
        </w:rPr>
      </w:pPr>
      <w:proofErr w:type="spellStart"/>
      <w:r w:rsidRPr="00DC3295">
        <w:rPr>
          <w:rFonts w:ascii="Verdana" w:hAnsi="Verdana"/>
          <w:sz w:val="20"/>
          <w:szCs w:val="20"/>
          <w:lang w:val="cs-CZ"/>
        </w:rPr>
        <w:t>Aktuárský</w:t>
      </w:r>
      <w:proofErr w:type="spellEnd"/>
      <w:r w:rsidRPr="00DC3295">
        <w:rPr>
          <w:rFonts w:ascii="Verdana" w:hAnsi="Verdana"/>
          <w:sz w:val="20"/>
          <w:szCs w:val="20"/>
          <w:lang w:val="cs-CZ"/>
        </w:rPr>
        <w:t xml:space="preserve"> úsudek -</w:t>
      </w:r>
      <w:r w:rsidRPr="00DC3295">
        <w:rPr>
          <w:rFonts w:ascii="Verdana" w:hAnsi="Verdana"/>
          <w:sz w:val="20"/>
          <w:szCs w:val="20"/>
          <w:lang w:val="en-US"/>
        </w:rPr>
        <w:t xml:space="preserve">&gt; </w:t>
      </w:r>
      <w:r w:rsidRPr="00DC3295">
        <w:rPr>
          <w:rFonts w:ascii="Verdana" w:hAnsi="Verdana"/>
          <w:sz w:val="20"/>
          <w:szCs w:val="20"/>
          <w:lang w:val="cs-CZ"/>
        </w:rPr>
        <w:t>přiměřený úsudek nebo odborný úsudek</w:t>
      </w:r>
    </w:p>
    <w:p w14:paraId="75ECCFAC" w14:textId="77777777" w:rsidR="009E405D" w:rsidRPr="00DC3295" w:rsidRDefault="00A13A31" w:rsidP="00A13A31">
      <w:pPr>
        <w:rPr>
          <w:rFonts w:ascii="Verdana" w:hAnsi="Verdana"/>
          <w:sz w:val="20"/>
          <w:szCs w:val="20"/>
          <w:lang w:val="en-US"/>
        </w:rPr>
      </w:pPr>
      <w:r w:rsidRPr="00DC3295">
        <w:rPr>
          <w:rFonts w:ascii="Verdana" w:hAnsi="Verdana"/>
          <w:sz w:val="20"/>
          <w:szCs w:val="20"/>
          <w:lang w:val="cs-CZ"/>
        </w:rPr>
        <w:t>Pojišťovna, společnost -</w:t>
      </w:r>
      <w:r w:rsidRPr="00DC3295">
        <w:rPr>
          <w:rFonts w:ascii="Verdana" w:hAnsi="Verdana"/>
          <w:sz w:val="20"/>
          <w:szCs w:val="20"/>
          <w:lang w:val="en-US"/>
        </w:rPr>
        <w:t xml:space="preserve">&gt;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Subjekt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nebo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zadavatel</w:t>
      </w:r>
      <w:proofErr w:type="spellEnd"/>
      <w:r w:rsidR="009E405D" w:rsidRPr="00DC3295">
        <w:rPr>
          <w:rFonts w:ascii="Verdana" w:hAnsi="Verdana"/>
          <w:sz w:val="20"/>
          <w:szCs w:val="20"/>
          <w:lang w:val="en-US"/>
        </w:rPr>
        <w:t xml:space="preserve"> </w:t>
      </w:r>
    </w:p>
    <w:p w14:paraId="0E290FF4" w14:textId="1662A6B0" w:rsidR="00A13A31" w:rsidRPr="00DC3295" w:rsidRDefault="009E405D" w:rsidP="00A13A31">
      <w:pPr>
        <w:rPr>
          <w:rFonts w:ascii="Verdana" w:hAnsi="Verdana"/>
          <w:sz w:val="20"/>
          <w:szCs w:val="20"/>
          <w:lang w:val="cs-CZ"/>
        </w:rPr>
      </w:pPr>
      <w:proofErr w:type="gramStart"/>
      <w:r w:rsidRPr="00DC3295">
        <w:rPr>
          <w:rFonts w:ascii="Verdana" w:hAnsi="Verdana"/>
          <w:sz w:val="20"/>
          <w:szCs w:val="20"/>
          <w:lang w:val="en-US"/>
        </w:rPr>
        <w:t>do</w:t>
      </w:r>
      <w:proofErr w:type="gram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poznamek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možno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přidat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že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dle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SAPu1 se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spolenost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myslí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C3295">
        <w:rPr>
          <w:rFonts w:ascii="Verdana" w:hAnsi="Verdana"/>
          <w:sz w:val="20"/>
          <w:szCs w:val="20"/>
          <w:lang w:val="en-US"/>
        </w:rPr>
        <w:t>zadavatelem</w:t>
      </w:r>
      <w:proofErr w:type="spellEnd"/>
      <w:r w:rsidRPr="00DC3295">
        <w:rPr>
          <w:rFonts w:ascii="Verdana" w:hAnsi="Verdana"/>
          <w:sz w:val="20"/>
          <w:szCs w:val="20"/>
          <w:lang w:val="en-US"/>
        </w:rPr>
        <w:t xml:space="preserve"> a pod.</w:t>
      </w:r>
    </w:p>
    <w:p w14:paraId="5855B624" w14:textId="77777777" w:rsidR="00A13A31" w:rsidRPr="00DC3295" w:rsidRDefault="00A13A31" w:rsidP="00107049">
      <w:pPr>
        <w:rPr>
          <w:rFonts w:ascii="Verdana" w:hAnsi="Verdana"/>
          <w:sz w:val="20"/>
          <w:szCs w:val="20"/>
        </w:rPr>
      </w:pPr>
    </w:p>
    <w:p w14:paraId="6BF7DE0C" w14:textId="77777777" w:rsidR="00D20949" w:rsidRPr="00DC3295" w:rsidRDefault="00D20949" w:rsidP="00107049">
      <w:pPr>
        <w:rPr>
          <w:rFonts w:ascii="Verdana" w:hAnsi="Verdana"/>
          <w:sz w:val="20"/>
          <w:szCs w:val="20"/>
        </w:rPr>
      </w:pPr>
    </w:p>
    <w:p w14:paraId="1F0E55F1" w14:textId="0403C177" w:rsidR="00D20949" w:rsidRPr="00DC3295" w:rsidRDefault="00D20949" w:rsidP="00107049">
      <w:pPr>
        <w:rPr>
          <w:rFonts w:ascii="Verdana" w:hAnsi="Verdana"/>
          <w:sz w:val="20"/>
          <w:szCs w:val="20"/>
        </w:rPr>
      </w:pPr>
      <w:r w:rsidRPr="00DC3295">
        <w:rPr>
          <w:rFonts w:ascii="Verdana" w:hAnsi="Verdana"/>
          <w:sz w:val="20"/>
          <w:szCs w:val="20"/>
        </w:rPr>
        <w:t>17.3. 15:00</w:t>
      </w:r>
    </w:p>
    <w:sectPr w:rsidR="00D20949" w:rsidRPr="00DC3295" w:rsidSect="00BA558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D5E81" w15:done="0"/>
  <w15:commentEx w15:paraId="0DF34F90" w15:done="0"/>
  <w15:commentEx w15:paraId="6D299C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74B"/>
    <w:multiLevelType w:val="hybridMultilevel"/>
    <w:tmpl w:val="FD544B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D7EB5"/>
    <w:multiLevelType w:val="hybridMultilevel"/>
    <w:tmpl w:val="6F30FF9C"/>
    <w:lvl w:ilvl="0" w:tplc="C2826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12F"/>
    <w:multiLevelType w:val="hybridMultilevel"/>
    <w:tmpl w:val="57AAA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2E79"/>
    <w:multiLevelType w:val="hybridMultilevel"/>
    <w:tmpl w:val="1AB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390B"/>
    <w:multiLevelType w:val="hybridMultilevel"/>
    <w:tmpl w:val="9E4C7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16C7"/>
    <w:multiLevelType w:val="hybridMultilevel"/>
    <w:tmpl w:val="0712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618B0"/>
    <w:multiLevelType w:val="hybridMultilevel"/>
    <w:tmpl w:val="A0AEA7C0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B235EC2"/>
    <w:multiLevelType w:val="hybridMultilevel"/>
    <w:tmpl w:val="E332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E0649"/>
    <w:multiLevelType w:val="hybridMultilevel"/>
    <w:tmpl w:val="B192A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, Tomas (CZ - Prague)">
    <w15:presenceInfo w15:providerId="AD" w15:userId="S-1-5-21-2094927150-201071529-617630493-183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A"/>
    <w:rsid w:val="000102B0"/>
    <w:rsid w:val="00034C67"/>
    <w:rsid w:val="00070DD0"/>
    <w:rsid w:val="00093629"/>
    <w:rsid w:val="000A1B90"/>
    <w:rsid w:val="000C760D"/>
    <w:rsid w:val="000D657D"/>
    <w:rsid w:val="001028A5"/>
    <w:rsid w:val="00107049"/>
    <w:rsid w:val="001119E1"/>
    <w:rsid w:val="00123608"/>
    <w:rsid w:val="00133A5A"/>
    <w:rsid w:val="001626DC"/>
    <w:rsid w:val="001929D7"/>
    <w:rsid w:val="001D291F"/>
    <w:rsid w:val="001F317A"/>
    <w:rsid w:val="00230D22"/>
    <w:rsid w:val="00233408"/>
    <w:rsid w:val="00242FBF"/>
    <w:rsid w:val="00253010"/>
    <w:rsid w:val="00290290"/>
    <w:rsid w:val="002955F9"/>
    <w:rsid w:val="002A6825"/>
    <w:rsid w:val="002B1939"/>
    <w:rsid w:val="002B20C1"/>
    <w:rsid w:val="002C7106"/>
    <w:rsid w:val="002D46E5"/>
    <w:rsid w:val="00304768"/>
    <w:rsid w:val="00310CBF"/>
    <w:rsid w:val="00332664"/>
    <w:rsid w:val="0036057F"/>
    <w:rsid w:val="00366598"/>
    <w:rsid w:val="003825B0"/>
    <w:rsid w:val="003A17C1"/>
    <w:rsid w:val="003A5B58"/>
    <w:rsid w:val="003B1684"/>
    <w:rsid w:val="003F57EF"/>
    <w:rsid w:val="0042777C"/>
    <w:rsid w:val="004349DF"/>
    <w:rsid w:val="00442E03"/>
    <w:rsid w:val="004646C6"/>
    <w:rsid w:val="00477CF6"/>
    <w:rsid w:val="0048036E"/>
    <w:rsid w:val="004B2F26"/>
    <w:rsid w:val="004C52E3"/>
    <w:rsid w:val="004D7643"/>
    <w:rsid w:val="004F4007"/>
    <w:rsid w:val="00532E58"/>
    <w:rsid w:val="00542F1B"/>
    <w:rsid w:val="00561BE3"/>
    <w:rsid w:val="005749A0"/>
    <w:rsid w:val="00586223"/>
    <w:rsid w:val="005A00DF"/>
    <w:rsid w:val="005A0C50"/>
    <w:rsid w:val="005B0074"/>
    <w:rsid w:val="005C0A18"/>
    <w:rsid w:val="005C3E8A"/>
    <w:rsid w:val="005E4EE8"/>
    <w:rsid w:val="005F548C"/>
    <w:rsid w:val="006034B7"/>
    <w:rsid w:val="00603DD6"/>
    <w:rsid w:val="00606EB3"/>
    <w:rsid w:val="00632FB0"/>
    <w:rsid w:val="00634947"/>
    <w:rsid w:val="00635174"/>
    <w:rsid w:val="00654A8D"/>
    <w:rsid w:val="00660A87"/>
    <w:rsid w:val="006704EB"/>
    <w:rsid w:val="006708E9"/>
    <w:rsid w:val="006730D4"/>
    <w:rsid w:val="00684B74"/>
    <w:rsid w:val="006A69D5"/>
    <w:rsid w:val="006B58E5"/>
    <w:rsid w:val="006B61D7"/>
    <w:rsid w:val="007050CD"/>
    <w:rsid w:val="00707D74"/>
    <w:rsid w:val="00725A84"/>
    <w:rsid w:val="00727A9C"/>
    <w:rsid w:val="00760FC4"/>
    <w:rsid w:val="0079202B"/>
    <w:rsid w:val="007974BC"/>
    <w:rsid w:val="007A4AA9"/>
    <w:rsid w:val="007B18BA"/>
    <w:rsid w:val="007B37BA"/>
    <w:rsid w:val="007F7292"/>
    <w:rsid w:val="00812A00"/>
    <w:rsid w:val="008227FF"/>
    <w:rsid w:val="008261AE"/>
    <w:rsid w:val="00832E26"/>
    <w:rsid w:val="00841088"/>
    <w:rsid w:val="00860353"/>
    <w:rsid w:val="008659F9"/>
    <w:rsid w:val="009045AF"/>
    <w:rsid w:val="0091180D"/>
    <w:rsid w:val="00915876"/>
    <w:rsid w:val="00940422"/>
    <w:rsid w:val="0094520D"/>
    <w:rsid w:val="009618F7"/>
    <w:rsid w:val="00965C90"/>
    <w:rsid w:val="00984662"/>
    <w:rsid w:val="00993460"/>
    <w:rsid w:val="00995123"/>
    <w:rsid w:val="009B3BB4"/>
    <w:rsid w:val="009C3721"/>
    <w:rsid w:val="009D6E38"/>
    <w:rsid w:val="009D714E"/>
    <w:rsid w:val="009E405D"/>
    <w:rsid w:val="00A1093A"/>
    <w:rsid w:val="00A13A31"/>
    <w:rsid w:val="00A2478D"/>
    <w:rsid w:val="00A4225C"/>
    <w:rsid w:val="00A55963"/>
    <w:rsid w:val="00A721DD"/>
    <w:rsid w:val="00A93A40"/>
    <w:rsid w:val="00AB0DFB"/>
    <w:rsid w:val="00AE6AAF"/>
    <w:rsid w:val="00B0225C"/>
    <w:rsid w:val="00B30EC6"/>
    <w:rsid w:val="00B55FCE"/>
    <w:rsid w:val="00B5618F"/>
    <w:rsid w:val="00B6316D"/>
    <w:rsid w:val="00B64994"/>
    <w:rsid w:val="00B706FD"/>
    <w:rsid w:val="00B721D7"/>
    <w:rsid w:val="00B9135B"/>
    <w:rsid w:val="00B93822"/>
    <w:rsid w:val="00B943BD"/>
    <w:rsid w:val="00BA558A"/>
    <w:rsid w:val="00BC5296"/>
    <w:rsid w:val="00BE65E4"/>
    <w:rsid w:val="00BF6DE2"/>
    <w:rsid w:val="00BF7524"/>
    <w:rsid w:val="00C1099C"/>
    <w:rsid w:val="00C22713"/>
    <w:rsid w:val="00C45E46"/>
    <w:rsid w:val="00C503E4"/>
    <w:rsid w:val="00C70261"/>
    <w:rsid w:val="00C900B3"/>
    <w:rsid w:val="00C96889"/>
    <w:rsid w:val="00CA42BF"/>
    <w:rsid w:val="00CA47EE"/>
    <w:rsid w:val="00CA580A"/>
    <w:rsid w:val="00CC6711"/>
    <w:rsid w:val="00CE60D7"/>
    <w:rsid w:val="00D20949"/>
    <w:rsid w:val="00D23ABC"/>
    <w:rsid w:val="00D533C3"/>
    <w:rsid w:val="00D73D52"/>
    <w:rsid w:val="00DC3295"/>
    <w:rsid w:val="00DE0D05"/>
    <w:rsid w:val="00DF38B8"/>
    <w:rsid w:val="00DF3CF7"/>
    <w:rsid w:val="00E02D89"/>
    <w:rsid w:val="00E03072"/>
    <w:rsid w:val="00E06CC5"/>
    <w:rsid w:val="00E16AF8"/>
    <w:rsid w:val="00E25B23"/>
    <w:rsid w:val="00E3141A"/>
    <w:rsid w:val="00E33397"/>
    <w:rsid w:val="00E46B62"/>
    <w:rsid w:val="00E50A77"/>
    <w:rsid w:val="00E929EB"/>
    <w:rsid w:val="00EA6038"/>
    <w:rsid w:val="00EB7156"/>
    <w:rsid w:val="00EC54A1"/>
    <w:rsid w:val="00ED7B39"/>
    <w:rsid w:val="00EE29F9"/>
    <w:rsid w:val="00EE6071"/>
    <w:rsid w:val="00EF1C4B"/>
    <w:rsid w:val="00F67E9B"/>
    <w:rsid w:val="00F73E49"/>
    <w:rsid w:val="00F7491C"/>
    <w:rsid w:val="00FA3F0D"/>
    <w:rsid w:val="00FB4304"/>
    <w:rsid w:val="00FB6AE1"/>
    <w:rsid w:val="00FC3AD6"/>
    <w:rsid w:val="00FD0676"/>
    <w:rsid w:val="00FE32AB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5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6">
    <w:name w:val="Light List Accent 6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4">
    <w:name w:val="Medium Shading 1 Accent 4"/>
    <w:basedOn w:val="Normlntabulka"/>
    <w:uiPriority w:val="63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4">
    <w:name w:val="Light List Accent 4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1070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4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3B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3B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D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6">
    <w:name w:val="Light List Accent 6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4">
    <w:name w:val="Medium Shading 1 Accent 4"/>
    <w:basedOn w:val="Normlntabulka"/>
    <w:uiPriority w:val="63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eznamzvraznn4">
    <w:name w:val="Light List Accent 4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BA55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1070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4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3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3B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3B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D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E05A-D20A-4547-B754-6488BAF3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20</Pages>
  <Words>3221</Words>
  <Characters>19009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 Pojišťovna a.s.</Company>
  <LinksUpToDate>false</LinksUpToDate>
  <CharactersWithSpaces>22186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Masner Václav</dc:creator>
  <cp:lastModifiedBy>Masner Václav</cp:lastModifiedBy>
  <cp:revision>13</cp:revision>
  <dcterms:created xsi:type="dcterms:W3CDTF">2016-03-30T12:26:00Z</dcterms:created>
  <dcterms:modified xsi:type="dcterms:W3CDTF">2016-03-30T14:26:00Z</dcterms:modified>
</cp:coreProperties>
</file>