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DA" w:rsidRPr="009E72C3" w:rsidRDefault="002339DA" w:rsidP="00DA7B83">
      <w:pPr>
        <w:spacing w:before="100" w:beforeAutospacing="1" w:after="100" w:afterAutospacing="1"/>
        <w:outlineLvl w:val="2"/>
        <w:rPr>
          <w:rFonts w:ascii="Verdana" w:hAnsi="Verdana"/>
          <w:b/>
          <w:bCs/>
          <w:color w:val="1F609D"/>
          <w:sz w:val="27"/>
          <w:szCs w:val="27"/>
          <w:lang w:val="cs-CZ"/>
        </w:rPr>
      </w:pPr>
      <w:r w:rsidRPr="009E72C3">
        <w:rPr>
          <w:rFonts w:ascii="Verdana" w:hAnsi="Verdana"/>
          <w:b/>
          <w:bCs/>
          <w:color w:val="1F609D"/>
          <w:sz w:val="27"/>
          <w:szCs w:val="27"/>
          <w:lang w:val="cs-CZ"/>
        </w:rPr>
        <w:t>Odborná směrnice č. 3</w:t>
      </w:r>
    </w:p>
    <w:p w:rsidR="009861D6" w:rsidRDefault="002339DA" w:rsidP="00317508">
      <w:pPr>
        <w:rPr>
          <w:rFonts w:ascii="Verdana" w:hAnsi="Verdana"/>
          <w:color w:val="333333"/>
          <w:sz w:val="20"/>
          <w:szCs w:val="20"/>
          <w:lang w:val="cs-CZ"/>
        </w:rPr>
      </w:pPr>
      <w:r w:rsidRPr="009E72C3">
        <w:rPr>
          <w:rFonts w:ascii="Verdana" w:hAnsi="Verdana"/>
          <w:color w:val="333333"/>
          <w:sz w:val="20"/>
          <w:szCs w:val="20"/>
          <w:lang w:val="cs-CZ"/>
        </w:rPr>
        <w:t>Test postačitelnosti technických rezerv životních pojištění</w:t>
      </w:r>
    </w:p>
    <w:p w:rsidR="009861D6" w:rsidRDefault="009861D6" w:rsidP="00317508">
      <w:pPr>
        <w:rPr>
          <w:rFonts w:ascii="Verdana" w:hAnsi="Verdana"/>
          <w:color w:val="333333"/>
          <w:sz w:val="20"/>
          <w:szCs w:val="20"/>
          <w:lang w:val="cs-CZ"/>
        </w:rPr>
      </w:pPr>
    </w:p>
    <w:p w:rsidR="002339DA" w:rsidRPr="009E72C3" w:rsidRDefault="002339DA" w:rsidP="00317508">
      <w:pPr>
        <w:rPr>
          <w:rFonts w:ascii="Verdana" w:hAnsi="Verdana"/>
          <w:color w:val="333333"/>
          <w:sz w:val="20"/>
          <w:szCs w:val="20"/>
          <w:lang w:val="cs-CZ"/>
        </w:rPr>
      </w:pPr>
      <w:r w:rsidRPr="009E72C3">
        <w:rPr>
          <w:rFonts w:ascii="Verdana" w:hAnsi="Verdana"/>
          <w:color w:val="333333"/>
          <w:sz w:val="20"/>
          <w:szCs w:val="20"/>
          <w:lang w:val="cs-CZ"/>
        </w:rPr>
        <w:t>Právní normy:</w:t>
      </w:r>
    </w:p>
    <w:p w:rsidR="009861D6" w:rsidRPr="00DA7B83" w:rsidRDefault="002339DA" w:rsidP="00DA7B83">
      <w:pPr>
        <w:pStyle w:val="ListParagraph"/>
        <w:numPr>
          <w:ilvl w:val="0"/>
          <w:numId w:val="42"/>
        </w:numPr>
        <w:tabs>
          <w:tab w:val="left" w:pos="360"/>
        </w:tabs>
        <w:ind w:left="360"/>
        <w:rPr>
          <w:rFonts w:ascii="Verdana" w:hAnsi="Verdana"/>
          <w:color w:val="333333"/>
          <w:sz w:val="20"/>
          <w:szCs w:val="20"/>
          <w:lang w:val="cs-CZ"/>
        </w:rPr>
      </w:pPr>
      <w:r w:rsidRPr="00DA7B83">
        <w:rPr>
          <w:rFonts w:ascii="Verdana" w:hAnsi="Verdana"/>
          <w:color w:val="333333"/>
          <w:sz w:val="20"/>
          <w:szCs w:val="20"/>
          <w:lang w:val="cs-CZ"/>
        </w:rPr>
        <w:t>Zákon č. 277/2009 Sb., o pojišťovnictví, ve znění pozdějších předpisů (dále jen „zákon o pojišťovnictví“)</w:t>
      </w:r>
    </w:p>
    <w:p w:rsidR="002339DA" w:rsidRPr="00DA7B83" w:rsidRDefault="002339DA" w:rsidP="00DA7B83">
      <w:pPr>
        <w:pStyle w:val="ListParagraph"/>
        <w:numPr>
          <w:ilvl w:val="0"/>
          <w:numId w:val="42"/>
        </w:numPr>
        <w:tabs>
          <w:tab w:val="left" w:pos="360"/>
        </w:tabs>
        <w:ind w:left="360"/>
        <w:rPr>
          <w:rFonts w:ascii="Verdana" w:hAnsi="Verdana"/>
          <w:color w:val="333333"/>
          <w:sz w:val="20"/>
          <w:szCs w:val="20"/>
          <w:lang w:val="cs-CZ"/>
        </w:rPr>
      </w:pPr>
      <w:r w:rsidRPr="00DA7B83">
        <w:rPr>
          <w:rFonts w:ascii="Verdana" w:hAnsi="Verdana"/>
          <w:color w:val="333333"/>
          <w:sz w:val="20"/>
          <w:szCs w:val="20"/>
          <w:lang w:val="cs-CZ"/>
        </w:rPr>
        <w:t>Zákon č. 563/1991 Sb., o účetnictví, ve znění pozdějších předpisů (dále jen „zákon o účetnictví“)</w:t>
      </w:r>
    </w:p>
    <w:p w:rsidR="009861D6" w:rsidRPr="00DA7B83" w:rsidRDefault="002339DA" w:rsidP="00DA7B83">
      <w:pPr>
        <w:pStyle w:val="ListParagraph"/>
        <w:numPr>
          <w:ilvl w:val="0"/>
          <w:numId w:val="42"/>
        </w:numPr>
        <w:tabs>
          <w:tab w:val="left" w:pos="360"/>
        </w:tabs>
        <w:spacing w:after="240"/>
        <w:ind w:left="360"/>
        <w:rPr>
          <w:rFonts w:ascii="Verdana" w:hAnsi="Verdana"/>
          <w:color w:val="333333"/>
          <w:sz w:val="20"/>
          <w:szCs w:val="20"/>
          <w:lang w:val="cs-CZ"/>
        </w:rPr>
      </w:pPr>
      <w:r w:rsidRPr="00DA7B83">
        <w:rPr>
          <w:rFonts w:ascii="Verdana" w:hAnsi="Verdana"/>
          <w:color w:val="333333"/>
          <w:sz w:val="20"/>
          <w:szCs w:val="20"/>
          <w:lang w:val="cs-CZ"/>
        </w:rPr>
        <w:t>Vyhláška č. 502/2002 Sb.,</w:t>
      </w:r>
      <w:r w:rsidRPr="00DA7B83">
        <w:rPr>
          <w:rFonts w:ascii="Verdana" w:hAnsi="Verdana"/>
          <w:lang w:val="cs-CZ"/>
        </w:rPr>
        <w:t xml:space="preserve"> </w:t>
      </w:r>
      <w:r w:rsidRPr="00DA7B83">
        <w:rPr>
          <w:rFonts w:ascii="Verdana" w:hAnsi="Verdana"/>
          <w:color w:val="333333"/>
          <w:sz w:val="20"/>
          <w:szCs w:val="20"/>
          <w:lang w:val="cs-CZ"/>
        </w:rPr>
        <w:t>kterou se provádějí některá ustanovení zákona č.</w:t>
      </w:r>
      <w:r w:rsidR="00F925EB">
        <w:rPr>
          <w:rFonts w:ascii="Verdana" w:hAnsi="Verdana"/>
          <w:color w:val="333333"/>
          <w:sz w:val="20"/>
          <w:szCs w:val="20"/>
          <w:lang w:val="cs-CZ"/>
        </w:rPr>
        <w:t> </w:t>
      </w:r>
      <w:r w:rsidRPr="00DA7B83">
        <w:rPr>
          <w:rFonts w:ascii="Verdana" w:hAnsi="Verdana"/>
          <w:color w:val="333333"/>
          <w:sz w:val="20"/>
          <w:szCs w:val="20"/>
          <w:lang w:val="cs-CZ"/>
        </w:rPr>
        <w:t>563/1991 Sb., o účetnictví, ve znění pozdějších předpisů, pro účetní jednotky, které jsou pojišťovnami</w:t>
      </w:r>
    </w:p>
    <w:p w:rsidR="002339DA" w:rsidRPr="001D4B2E" w:rsidRDefault="002339DA" w:rsidP="00716A92">
      <w:pPr>
        <w:spacing w:after="240"/>
        <w:rPr>
          <w:rFonts w:ascii="Verdana" w:hAnsi="Verdana"/>
          <w:color w:val="333333"/>
          <w:sz w:val="20"/>
          <w:szCs w:val="20"/>
          <w:lang w:val="cs-CZ"/>
        </w:rPr>
      </w:pPr>
    </w:p>
    <w:p w:rsidR="002339DA" w:rsidRPr="001D4B2E" w:rsidRDefault="002339DA" w:rsidP="00317508">
      <w:pPr>
        <w:spacing w:after="240"/>
        <w:rPr>
          <w:rFonts w:ascii="Verdana" w:hAnsi="Verdana"/>
          <w:color w:val="333333"/>
          <w:sz w:val="20"/>
          <w:szCs w:val="20"/>
          <w:lang w:val="cs-CZ"/>
        </w:rPr>
      </w:pPr>
      <w:r w:rsidRPr="00DA7B83">
        <w:rPr>
          <w:rFonts w:ascii="Verdana" w:hAnsi="Verdana"/>
          <w:color w:val="333333"/>
          <w:sz w:val="20"/>
          <w:szCs w:val="20"/>
          <w:lang w:val="cs-CZ"/>
        </w:rPr>
        <w:t xml:space="preserve">Vydání č. 2 schválené dne </w:t>
      </w:r>
      <w:proofErr w:type="spellStart"/>
      <w:r w:rsidRPr="00DA7B83">
        <w:rPr>
          <w:rFonts w:ascii="Verdana" w:hAnsi="Verdana"/>
          <w:color w:val="333333"/>
          <w:sz w:val="20"/>
          <w:szCs w:val="20"/>
          <w:highlight w:val="yellow"/>
          <w:lang w:val="cs-CZ"/>
        </w:rPr>
        <w:t>xxxx</w:t>
      </w:r>
      <w:proofErr w:type="spellEnd"/>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1. Úvod</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1.1. Důvodem vzniku této směrnice je snaha poskytnout odpovědným pojistným matematikům postup pro stanovení celkové výše technických rezerv v životním pojištění. Cílem je zavést zásady stanovení rezerv, které budou obezřetně vyjadřovat finanční situaci pojišťoven</w:t>
      </w:r>
      <w:r w:rsidRPr="00DA7B83">
        <w:rPr>
          <w:rStyle w:val="FootnoteReference"/>
          <w:rFonts w:ascii="Verdana" w:hAnsi="Verdana"/>
          <w:color w:val="333333"/>
          <w:szCs w:val="20"/>
          <w:lang w:val="cs-CZ"/>
        </w:rPr>
        <w:footnoteReference w:id="1"/>
      </w:r>
      <w:r w:rsidRPr="001D4B2E">
        <w:rPr>
          <w:rFonts w:ascii="Verdana" w:hAnsi="Verdana"/>
          <w:color w:val="333333"/>
          <w:sz w:val="20"/>
          <w:szCs w:val="20"/>
          <w:lang w:val="cs-CZ"/>
        </w:rPr>
        <w:t>, při zohlednění aktuálního pojistného uvedeného v pojistných smlouvách a očekávaných hodnot parametrů ovlivňujících hodnotu závazků z poji</w:t>
      </w:r>
      <w:r w:rsidRPr="00DA7B83">
        <w:rPr>
          <w:rFonts w:ascii="Verdana" w:hAnsi="Verdana"/>
          <w:color w:val="333333"/>
          <w:sz w:val="20"/>
          <w:szCs w:val="20"/>
          <w:lang w:val="cs-CZ"/>
        </w:rPr>
        <w:t>stných smluv, především úrokových měr, nákladů, úmrtnosti.</w:t>
      </w:r>
    </w:p>
    <w:p w:rsidR="002339DA" w:rsidRPr="001D4B2E"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1.2. Tato směrnice vychází ze stejného právního rámce jako odborná směrnice č. 2. Zákon o účetnictví v § 27 odst. 1 písm. c) požaduje, aby technické rezervy u účetních jednotek, které provozují činnost pojištění nebo zajištění podle zvláštních právních předpisů byly oceňovány reálnou hodnotou. Ocenění technických rezerv reálnou hodnotou je dáno § 28 vyhlášky č. 502/2002 Sb. Zvláštním právním předpisem je zde zákon o pojišťovnictví, který v § 18 odst. 1 stanoví, že při výpočtu rezervy pojistného životních pojištění se používá stejných statistických dat a téže technické úrokové míry, jichž bylo použito při výpočtu sazeb pojistného. Nastává tedy případ § 27 odst. 4 písm. c) zákona o účetnictví, jelikož nelze postupovat podle písmen a) a b) z důvodů právě citovaného ustanovení. Použije se tedy dle c) ocenění podle zvláštního právního předpisu.</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2. Obecné zásady</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 xml:space="preserve">2.1. Zákon o pojišťovnictví v § 55 odst. 2 ukládá povinnost tvorby rezerv v dostatečné výši a s ohledem na veškerou činnost tak, aby pojišťovna byla schopna v kterémkoli okamžiku dostát svým závazkům vyplývajícím z jí uzavřených pojistných smluv. </w:t>
      </w:r>
    </w:p>
    <w:p w:rsidR="009E72C3"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 xml:space="preserve">2.2. Při výpočtu rezervy pojistného životních pojištění se vychází z ustanovení § 65 odst. 1 </w:t>
      </w:r>
      <w:proofErr w:type="gramStart"/>
      <w:r w:rsidRPr="00DA7B83">
        <w:rPr>
          <w:rFonts w:ascii="Verdana" w:hAnsi="Verdana"/>
          <w:color w:val="333333"/>
          <w:sz w:val="20"/>
          <w:szCs w:val="20"/>
          <w:lang w:val="cs-CZ"/>
        </w:rPr>
        <w:t>zákona  o pojišťovnictví</w:t>
      </w:r>
      <w:proofErr w:type="gramEnd"/>
      <w:r w:rsidRPr="00DA7B83">
        <w:rPr>
          <w:rFonts w:ascii="Verdana" w:hAnsi="Verdana"/>
          <w:color w:val="333333"/>
          <w:sz w:val="20"/>
          <w:szCs w:val="20"/>
          <w:lang w:val="cs-CZ"/>
        </w:rPr>
        <w:t>. Tj. při výpočtu se používá stejných statistických podkladů a téže technické úrokové míry, jichž bylo použito při výpočtu sazeb pojistného.</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 xml:space="preserve">2.3. </w:t>
      </w:r>
      <w:r w:rsidR="00933649" w:rsidRPr="00DA7B83">
        <w:rPr>
          <w:rFonts w:ascii="Verdana" w:hAnsi="Verdana"/>
          <w:color w:val="333333"/>
          <w:sz w:val="20"/>
          <w:szCs w:val="20"/>
          <w:lang w:val="cs-CZ"/>
        </w:rPr>
        <w:t>P</w:t>
      </w:r>
      <w:r w:rsidRPr="00DA7B83">
        <w:rPr>
          <w:rFonts w:ascii="Verdana" w:hAnsi="Verdana"/>
          <w:color w:val="333333"/>
          <w:sz w:val="20"/>
          <w:szCs w:val="20"/>
          <w:lang w:val="cs-CZ"/>
        </w:rPr>
        <w:t xml:space="preserve">ojistný matematik provádí test postačitelnosti technických rezerv životních pojištění (dále jen "test postačitelnosti rezerv"), jehož cílem je prověřit postačitelnost součtu rezervy pojistného životních pojištění, rezervy na nezasloužené pojistné, rezervy na životní pojištění, je-li nositelem investičního rizika pojistník, rezervy na pojistná plnění z pojistných událostí v běžném účetním období vzniklých, nahlášených, ale v tomto období nezlikvidovaných a rezervy na prémie a slevy (dále pro zjednodušení uvádíme pojem </w:t>
      </w:r>
      <w:r w:rsidRPr="00DA7B83">
        <w:rPr>
          <w:rFonts w:ascii="Verdana" w:hAnsi="Verdana"/>
          <w:color w:val="333333"/>
          <w:sz w:val="20"/>
          <w:szCs w:val="20"/>
          <w:lang w:val="cs-CZ"/>
        </w:rPr>
        <w:lastRenderedPageBreak/>
        <w:t>"rezerva životních pojištění" pro součet výše uvedených rezerv). Při testu postačitelnosti rezerv se spočítá minimální hodnota pojistných závazků. Tato minimální hodnota pojistných závazků se porovná s rezervou životních pojištění sníženou o odpovídající neumořenou část pořizovacích nákladů na účtech časového rozlišení a o odpovídající nehmotná aktiva zaúčtovaná při obchodní kombinaci nebo transferu portfolia. K nepostačitelnosti rezerv dochází, pokud je minimální hodnota pojistných závazků větší nežli výše rezervy životních pojištění snížená o odpovídající nesplacené pořizovací náklady a o odpovídající nehmotná aktiva.</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2.</w:t>
      </w:r>
      <w:r w:rsidR="009E72C3" w:rsidRPr="00DA7B83">
        <w:rPr>
          <w:rFonts w:ascii="Verdana" w:hAnsi="Verdana"/>
          <w:color w:val="333333"/>
          <w:sz w:val="20"/>
          <w:szCs w:val="20"/>
          <w:lang w:val="cs-CZ"/>
        </w:rPr>
        <w:t>4</w:t>
      </w:r>
      <w:r w:rsidRPr="00DA7B83">
        <w:rPr>
          <w:rFonts w:ascii="Verdana" w:hAnsi="Verdana"/>
          <w:color w:val="333333"/>
          <w:sz w:val="20"/>
          <w:szCs w:val="20"/>
          <w:lang w:val="cs-CZ"/>
        </w:rPr>
        <w:t>. Pokud výsledkem testu postačitelnosti rezerv je nepostačitelnost rezervy životních pojištění, vytváří se v souladu s § 66 odst. 1 zákona o pojišťovnictví technická rezerva určená na splnění závazků z použité technické úrokové míry a ostatních početních parametrů a to tak, aby dosahovala výše rozdílu mezi rezervou životních pojištění (sníženou o odpovídající nesplacené pořizovací náklady a o odpovídající nehmotná aktiva) a minimální hodnotou pojistných závazků spočítanou při testu postačitelnosti rezerv.</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2.</w:t>
      </w:r>
      <w:r w:rsidR="009E72C3" w:rsidRPr="00DA7B83">
        <w:rPr>
          <w:rFonts w:ascii="Verdana" w:hAnsi="Verdana"/>
          <w:color w:val="333333"/>
          <w:sz w:val="20"/>
          <w:szCs w:val="20"/>
          <w:lang w:val="cs-CZ"/>
        </w:rPr>
        <w:t>5</w:t>
      </w:r>
      <w:r w:rsidRPr="00DA7B83">
        <w:rPr>
          <w:rFonts w:ascii="Verdana" w:hAnsi="Verdana"/>
          <w:color w:val="333333"/>
          <w:sz w:val="20"/>
          <w:szCs w:val="20"/>
          <w:lang w:val="cs-CZ"/>
        </w:rPr>
        <w:t>. Pokud výsledkem testu postačitelnosti rezerv je postačitelnost rezervy životních pojištění, rezerva určená na splnění závazků z použité technické úrokové míry a ostatních početních parametrů bude pro životní pojištění nulová. Nedochází přitom k úpravě rezervy pojistného životních pojištění.</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2.6. Test postačitelnosti rezerv se provádí vždy k datu sestavení účetní závěrky a dále v termínech dle potřeby pojišťovny.</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 xml:space="preserve">2.7. Tato směrnice nedává vyčerpávající návod na test postačitelnosti rezerv. </w:t>
      </w:r>
      <w:r w:rsidR="00933649" w:rsidRPr="00DA7B83">
        <w:rPr>
          <w:rFonts w:ascii="Verdana" w:hAnsi="Verdana"/>
          <w:color w:val="333333"/>
          <w:sz w:val="20"/>
          <w:szCs w:val="20"/>
          <w:lang w:val="cs-CZ"/>
        </w:rPr>
        <w:t>P</w:t>
      </w:r>
      <w:r w:rsidRPr="00DA7B83">
        <w:rPr>
          <w:rFonts w:ascii="Verdana" w:hAnsi="Verdana"/>
          <w:color w:val="333333"/>
          <w:sz w:val="20"/>
          <w:szCs w:val="20"/>
          <w:lang w:val="cs-CZ"/>
        </w:rPr>
        <w:t>ojistný matematik zváží všechny známé okolnosti a posoudí</w:t>
      </w:r>
      <w:r w:rsidRPr="001D4B2E">
        <w:rPr>
          <w:rFonts w:ascii="Verdana" w:hAnsi="Verdana"/>
          <w:color w:val="333333"/>
          <w:sz w:val="20"/>
          <w:szCs w:val="20"/>
          <w:lang w:val="cs-CZ"/>
        </w:rPr>
        <w:t xml:space="preserve"> </w:t>
      </w:r>
      <w:r w:rsidRPr="00DA7B83">
        <w:rPr>
          <w:rFonts w:ascii="Verdana" w:hAnsi="Verdana"/>
          <w:color w:val="333333"/>
          <w:sz w:val="20"/>
          <w:szCs w:val="20"/>
          <w:lang w:val="cs-CZ"/>
        </w:rPr>
        <w:t>odpovídající model a vstupní předpoklady podle svého nejlepšího uvážení ("</w:t>
      </w:r>
      <w:proofErr w:type="spellStart"/>
      <w:r w:rsidRPr="00DA7B83">
        <w:rPr>
          <w:rFonts w:ascii="Verdana" w:hAnsi="Verdana"/>
          <w:color w:val="333333"/>
          <w:sz w:val="20"/>
          <w:szCs w:val="20"/>
          <w:lang w:val="cs-CZ"/>
        </w:rPr>
        <w:t>actuarial</w:t>
      </w:r>
      <w:proofErr w:type="spellEnd"/>
      <w:r w:rsidRPr="00DA7B83">
        <w:rPr>
          <w:rFonts w:ascii="Verdana" w:hAnsi="Verdana"/>
          <w:color w:val="333333"/>
          <w:sz w:val="20"/>
          <w:szCs w:val="20"/>
          <w:lang w:val="cs-CZ"/>
        </w:rPr>
        <w:t xml:space="preserve"> </w:t>
      </w:r>
      <w:proofErr w:type="spellStart"/>
      <w:r w:rsidRPr="00DA7B83">
        <w:rPr>
          <w:rFonts w:ascii="Verdana" w:hAnsi="Verdana"/>
          <w:color w:val="333333"/>
          <w:sz w:val="20"/>
          <w:szCs w:val="20"/>
          <w:lang w:val="cs-CZ"/>
        </w:rPr>
        <w:t>judgement</w:t>
      </w:r>
      <w:proofErr w:type="spellEnd"/>
      <w:r w:rsidRPr="00DA7B83">
        <w:rPr>
          <w:rFonts w:ascii="Verdana" w:hAnsi="Verdana"/>
          <w:color w:val="333333"/>
          <w:sz w:val="20"/>
          <w:szCs w:val="20"/>
          <w:lang w:val="cs-CZ"/>
        </w:rPr>
        <w:t>").</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 xml:space="preserve">2.8. </w:t>
      </w:r>
      <w:r w:rsidR="00933649" w:rsidRPr="00DA7B83">
        <w:rPr>
          <w:rFonts w:ascii="Verdana" w:hAnsi="Verdana"/>
          <w:color w:val="333333"/>
          <w:sz w:val="20"/>
          <w:szCs w:val="20"/>
          <w:lang w:val="cs-CZ"/>
        </w:rPr>
        <w:t>P</w:t>
      </w:r>
      <w:r w:rsidRPr="00DA7B83">
        <w:rPr>
          <w:rFonts w:ascii="Verdana" w:hAnsi="Verdana"/>
          <w:color w:val="333333"/>
          <w:sz w:val="20"/>
          <w:szCs w:val="20"/>
          <w:lang w:val="cs-CZ"/>
        </w:rPr>
        <w:t xml:space="preserve">ojistný matematik písemně popíše provedený test postačitelnosti rezerv, </w:t>
      </w:r>
      <w:r w:rsidR="00222553" w:rsidRPr="00DA7B83">
        <w:rPr>
          <w:rFonts w:ascii="Verdana" w:hAnsi="Verdana"/>
          <w:color w:val="333333"/>
          <w:sz w:val="20"/>
          <w:szCs w:val="20"/>
          <w:lang w:val="cs-CZ"/>
        </w:rPr>
        <w:t xml:space="preserve">případné </w:t>
      </w:r>
      <w:r w:rsidRPr="00DA7B83">
        <w:rPr>
          <w:rFonts w:ascii="Verdana" w:hAnsi="Verdana"/>
          <w:color w:val="333333"/>
          <w:sz w:val="20"/>
          <w:szCs w:val="20"/>
          <w:lang w:val="cs-CZ"/>
        </w:rPr>
        <w:t>rozdělení pojistného kmene do skupin, použité předpoklady (odděleně vyčíslí nejlepší odhad předpokladů a přirážky na nepříznivý vývoj) a způsob jejich odvození.</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 Metodika testování</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3.1. Základní metodou testování rezervy je model diskontovaných finančních toků ("DCF"). Finančními toky pro účely testu se rozumí především předpis pojistného, pojistná plnění včetně odbytného a správní, pořizovací a investiční náklady. Výnos z aktiv a změna stavu rezerv nevstupují do výpočtu.</w:t>
      </w:r>
    </w:p>
    <w:p w:rsidR="001C1F01" w:rsidRPr="00DA7B83" w:rsidRDefault="00222553"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w:t>
      </w:r>
      <w:r w:rsidR="009861D6">
        <w:rPr>
          <w:rFonts w:ascii="Verdana" w:hAnsi="Verdana"/>
          <w:color w:val="333333"/>
          <w:sz w:val="20"/>
          <w:szCs w:val="20"/>
          <w:lang w:val="cs-CZ"/>
        </w:rPr>
        <w:t>2</w:t>
      </w:r>
      <w:r w:rsidRPr="00DA7B83">
        <w:rPr>
          <w:rFonts w:ascii="Verdana" w:hAnsi="Verdana"/>
          <w:color w:val="333333"/>
          <w:sz w:val="20"/>
          <w:szCs w:val="20"/>
          <w:lang w:val="cs-CZ"/>
        </w:rPr>
        <w:t xml:space="preserve">. </w:t>
      </w:r>
      <w:r w:rsidR="001C1F01" w:rsidRPr="00DA7B83">
        <w:rPr>
          <w:rFonts w:ascii="Verdana" w:hAnsi="Verdana"/>
          <w:color w:val="333333"/>
          <w:sz w:val="20"/>
          <w:szCs w:val="20"/>
          <w:lang w:val="cs-CZ"/>
        </w:rPr>
        <w:t xml:space="preserve">Posouzení postačitelnosti rezerv se provádí nad celým kmenem životních pojištění, tj. případná nepostačitelnost rezerv na jedné smlouvě je kompenzována přebytkem rezerv na jiné smlouvě. Pojistný matematik může rozhodnout o rozdělení kmene do skupin, pro které postačitelnost rezerv </w:t>
      </w:r>
      <w:r w:rsidRPr="00DA7B83">
        <w:rPr>
          <w:rFonts w:ascii="Verdana" w:hAnsi="Verdana"/>
          <w:color w:val="333333"/>
          <w:sz w:val="20"/>
          <w:szCs w:val="20"/>
          <w:lang w:val="cs-CZ"/>
        </w:rPr>
        <w:t>posuzuje odděleně.</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w:t>
      </w:r>
      <w:r w:rsidR="009861D6">
        <w:rPr>
          <w:rFonts w:ascii="Verdana" w:hAnsi="Verdana"/>
          <w:color w:val="333333"/>
          <w:sz w:val="20"/>
          <w:szCs w:val="20"/>
          <w:lang w:val="cs-CZ"/>
        </w:rPr>
        <w:t>3</w:t>
      </w:r>
      <w:r w:rsidRPr="00DA7B83">
        <w:rPr>
          <w:rFonts w:ascii="Verdana" w:hAnsi="Verdana"/>
          <w:color w:val="333333"/>
          <w:sz w:val="20"/>
          <w:szCs w:val="20"/>
          <w:lang w:val="cs-CZ"/>
        </w:rPr>
        <w:t>. K diskontování se používá křivka bezrizikových úrokových měr platná k datu ohodnocení.</w:t>
      </w:r>
    </w:p>
    <w:p w:rsidR="002339DA" w:rsidRPr="001D4B2E"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w:t>
      </w:r>
      <w:r w:rsidR="009861D6">
        <w:rPr>
          <w:rFonts w:ascii="Verdana" w:hAnsi="Verdana"/>
          <w:color w:val="333333"/>
          <w:sz w:val="20"/>
          <w:szCs w:val="20"/>
          <w:lang w:val="cs-CZ"/>
        </w:rPr>
        <w:t>4</w:t>
      </w:r>
      <w:r w:rsidRPr="00DA7B83">
        <w:rPr>
          <w:rFonts w:ascii="Verdana" w:hAnsi="Verdana"/>
          <w:color w:val="333333"/>
          <w:sz w:val="20"/>
          <w:szCs w:val="20"/>
          <w:lang w:val="cs-CZ"/>
        </w:rPr>
        <w:t>. Minimální hodnota pojistných závazků musí být počítána na předpokladech, které jsou konzistentní s oceněním finančního umístění.</w:t>
      </w:r>
      <w:r w:rsidR="001D4B2E">
        <w:rPr>
          <w:rFonts w:ascii="Verdana" w:hAnsi="Verdana"/>
          <w:color w:val="333333"/>
          <w:sz w:val="20"/>
          <w:szCs w:val="20"/>
          <w:lang w:val="cs-CZ"/>
        </w:rPr>
        <w:t xml:space="preserve"> Zejména:</w:t>
      </w:r>
    </w:p>
    <w:p w:rsidR="007F05BD" w:rsidRDefault="007F05BD" w:rsidP="00DA7B83">
      <w:pPr>
        <w:pStyle w:val="DTReportList"/>
        <w:numPr>
          <w:ilvl w:val="0"/>
          <w:numId w:val="40"/>
        </w:numPr>
        <w:rPr>
          <w:rFonts w:ascii="Verdana" w:hAnsi="Verdana" w:cs="Times New Roman"/>
          <w:color w:val="333333"/>
          <w:lang w:val="cs-CZ"/>
        </w:rPr>
      </w:pPr>
      <w:r>
        <w:rPr>
          <w:rFonts w:ascii="Verdana" w:hAnsi="Verdana"/>
          <w:color w:val="333333"/>
          <w:lang w:val="cs-CZ"/>
        </w:rPr>
        <w:t>Minimální hodnota závazků zahrnuje</w:t>
      </w:r>
      <w:r w:rsidRPr="004F6F83">
        <w:rPr>
          <w:rFonts w:ascii="Verdana" w:hAnsi="Verdana"/>
          <w:color w:val="333333"/>
          <w:lang w:val="cs-CZ"/>
        </w:rPr>
        <w:t xml:space="preserve"> již připsané podíly na </w:t>
      </w:r>
      <w:r>
        <w:rPr>
          <w:rFonts w:ascii="Verdana" w:hAnsi="Verdana"/>
          <w:color w:val="333333"/>
          <w:lang w:val="cs-CZ"/>
        </w:rPr>
        <w:t>výnosech</w:t>
      </w:r>
      <w:r w:rsidRPr="004F6F83">
        <w:rPr>
          <w:rFonts w:ascii="Verdana" w:hAnsi="Verdana"/>
          <w:color w:val="333333"/>
          <w:lang w:val="cs-CZ"/>
        </w:rPr>
        <w:t>, o nichž bylo rozhodnuto v</w:t>
      </w:r>
      <w:r>
        <w:rPr>
          <w:rFonts w:ascii="Verdana" w:hAnsi="Verdana"/>
          <w:color w:val="333333"/>
          <w:lang w:val="cs-CZ"/>
        </w:rPr>
        <w:t> </w:t>
      </w:r>
      <w:r w:rsidRPr="004F6F83">
        <w:rPr>
          <w:rFonts w:ascii="Verdana" w:hAnsi="Verdana"/>
          <w:color w:val="333333"/>
          <w:lang w:val="cs-CZ"/>
        </w:rPr>
        <w:t>minulosti.</w:t>
      </w:r>
    </w:p>
    <w:p w:rsidR="008D60AC" w:rsidRDefault="008D60AC" w:rsidP="00DA7B83">
      <w:pPr>
        <w:pStyle w:val="DTReportList"/>
        <w:numPr>
          <w:ilvl w:val="0"/>
          <w:numId w:val="40"/>
        </w:numPr>
        <w:rPr>
          <w:rFonts w:ascii="Verdana" w:hAnsi="Verdana" w:cs="Times New Roman"/>
          <w:color w:val="333333"/>
          <w:lang w:val="cs-CZ"/>
        </w:rPr>
      </w:pPr>
      <w:r>
        <w:rPr>
          <w:rFonts w:ascii="Verdana" w:hAnsi="Verdana" w:cs="Times New Roman"/>
          <w:color w:val="333333"/>
          <w:lang w:val="cs-CZ"/>
        </w:rPr>
        <w:t>Pro projekci investičního výnosu se používá křivka bezrizikových úrokových měr k datu ohodnocení.</w:t>
      </w:r>
    </w:p>
    <w:p w:rsidR="002339DA" w:rsidRPr="00DA7B83" w:rsidRDefault="002339DA" w:rsidP="00DA7B83">
      <w:pPr>
        <w:pStyle w:val="DTReportList"/>
        <w:numPr>
          <w:ilvl w:val="0"/>
          <w:numId w:val="40"/>
        </w:numPr>
        <w:rPr>
          <w:rFonts w:ascii="Verdana" w:hAnsi="Verdana" w:cs="Times New Roman"/>
          <w:color w:val="333333"/>
          <w:lang w:val="cs-CZ"/>
        </w:rPr>
      </w:pPr>
      <w:r w:rsidRPr="00DA7B83">
        <w:rPr>
          <w:rFonts w:ascii="Verdana" w:hAnsi="Verdana" w:cs="Times New Roman"/>
          <w:color w:val="333333"/>
          <w:lang w:val="cs-CZ"/>
        </w:rPr>
        <w:lastRenderedPageBreak/>
        <w:t xml:space="preserve">Minimální hodnota závazků </w:t>
      </w:r>
      <w:r w:rsidR="009E72C3" w:rsidRPr="00DA7B83">
        <w:rPr>
          <w:rFonts w:ascii="Verdana" w:hAnsi="Verdana" w:cs="Times New Roman"/>
          <w:color w:val="333333"/>
          <w:lang w:val="cs-CZ"/>
        </w:rPr>
        <w:t>musí zahrnovat</w:t>
      </w:r>
      <w:r w:rsidRPr="00DA7B83">
        <w:rPr>
          <w:rFonts w:ascii="Verdana" w:hAnsi="Verdana" w:cs="Times New Roman"/>
          <w:color w:val="333333"/>
          <w:lang w:val="cs-CZ"/>
        </w:rPr>
        <w:t xml:space="preserve"> budoucí </w:t>
      </w:r>
      <w:r w:rsidR="001D4B2E">
        <w:rPr>
          <w:rFonts w:ascii="Verdana" w:hAnsi="Verdana" w:cs="Times New Roman"/>
          <w:color w:val="333333"/>
          <w:lang w:val="cs-CZ"/>
        </w:rPr>
        <w:t xml:space="preserve">podíly na výnosech ve výši, ve které budou poskytnuty v návaznosti na výkonnost finančního umístění. Toto může, v závislosti na použité metodě ocenění a vykázání finančního umístění, znamenat zahrnutí </w:t>
      </w:r>
      <w:proofErr w:type="spellStart"/>
      <w:r w:rsidR="001D4B2E">
        <w:rPr>
          <w:rFonts w:ascii="Verdana" w:hAnsi="Verdana" w:cs="Times New Roman"/>
          <w:color w:val="333333"/>
          <w:lang w:val="cs-CZ"/>
        </w:rPr>
        <w:t>přeceňovacích</w:t>
      </w:r>
      <w:proofErr w:type="spellEnd"/>
      <w:r w:rsidR="001D4B2E">
        <w:rPr>
          <w:rFonts w:ascii="Verdana" w:hAnsi="Verdana" w:cs="Times New Roman"/>
          <w:color w:val="333333"/>
          <w:lang w:val="cs-CZ"/>
        </w:rPr>
        <w:t xml:space="preserve"> rozdílů do výpočtů.</w:t>
      </w:r>
    </w:p>
    <w:p w:rsidR="002339DA" w:rsidRPr="00DA7B83" w:rsidRDefault="002339DA" w:rsidP="00DA7B83">
      <w:pPr>
        <w:pStyle w:val="DTReportList"/>
        <w:numPr>
          <w:ilvl w:val="0"/>
          <w:numId w:val="40"/>
        </w:numPr>
        <w:rPr>
          <w:rFonts w:ascii="Verdana" w:hAnsi="Verdana" w:cs="Times New Roman"/>
          <w:color w:val="333333"/>
          <w:lang w:val="cs-CZ"/>
        </w:rPr>
      </w:pPr>
      <w:r w:rsidRPr="00DA7B83">
        <w:rPr>
          <w:rFonts w:ascii="Verdana" w:hAnsi="Verdana" w:cs="Times New Roman"/>
          <w:color w:val="333333"/>
          <w:lang w:val="cs-CZ"/>
        </w:rPr>
        <w:t xml:space="preserve">Minimální </w:t>
      </w:r>
      <w:r w:rsidR="001D4B2E">
        <w:rPr>
          <w:rFonts w:ascii="Verdana" w:hAnsi="Verdana" w:cs="Times New Roman"/>
          <w:color w:val="333333"/>
          <w:lang w:val="cs-CZ"/>
        </w:rPr>
        <w:t>podíly na výnosech</w:t>
      </w:r>
      <w:r w:rsidRPr="00DA7B83">
        <w:rPr>
          <w:rFonts w:ascii="Verdana" w:hAnsi="Verdana" w:cs="Times New Roman"/>
          <w:color w:val="333333"/>
          <w:lang w:val="cs-CZ"/>
        </w:rPr>
        <w:t xml:space="preserve"> v modelu finančních toků odpovídají smluvnímu nebo právnímu závazku nebo „</w:t>
      </w:r>
      <w:proofErr w:type="spellStart"/>
      <w:r w:rsidRPr="00DA7B83">
        <w:rPr>
          <w:rFonts w:ascii="Verdana" w:hAnsi="Verdana" w:cs="Times New Roman"/>
          <w:color w:val="333333"/>
          <w:lang w:val="cs-CZ"/>
        </w:rPr>
        <w:t>constructive</w:t>
      </w:r>
      <w:proofErr w:type="spellEnd"/>
      <w:r w:rsidRPr="00DA7B83">
        <w:rPr>
          <w:rFonts w:ascii="Verdana" w:hAnsi="Verdana" w:cs="Times New Roman"/>
          <w:color w:val="333333"/>
          <w:lang w:val="cs-CZ"/>
        </w:rPr>
        <w:t xml:space="preserve"> </w:t>
      </w:r>
      <w:proofErr w:type="spellStart"/>
      <w:r w:rsidRPr="00DA7B83">
        <w:rPr>
          <w:rFonts w:ascii="Verdana" w:hAnsi="Verdana" w:cs="Times New Roman"/>
          <w:color w:val="333333"/>
          <w:lang w:val="cs-CZ"/>
        </w:rPr>
        <w:t>obligation</w:t>
      </w:r>
      <w:proofErr w:type="spellEnd"/>
      <w:r w:rsidRPr="00DA7B83">
        <w:rPr>
          <w:rFonts w:ascii="Verdana" w:hAnsi="Verdana" w:cs="Times New Roman"/>
          <w:color w:val="333333"/>
          <w:lang w:val="cs-CZ"/>
        </w:rPr>
        <w:t xml:space="preserve">“. Jde o částku, kterou </w:t>
      </w:r>
      <w:proofErr w:type="spellStart"/>
      <w:r w:rsidRPr="00DA7B83">
        <w:rPr>
          <w:rFonts w:ascii="Verdana" w:hAnsi="Verdana" w:cs="Times New Roman"/>
          <w:color w:val="333333"/>
          <w:lang w:val="cs-CZ"/>
        </w:rPr>
        <w:t>pojištovna</w:t>
      </w:r>
      <w:proofErr w:type="spellEnd"/>
      <w:r w:rsidRPr="00DA7B83">
        <w:rPr>
          <w:rFonts w:ascii="Verdana" w:hAnsi="Verdana" w:cs="Times New Roman"/>
          <w:color w:val="333333"/>
          <w:lang w:val="cs-CZ"/>
        </w:rPr>
        <w:t xml:space="preserve"> musí připsat, protože je právně vynutitelná nebo by si na stávajícím pojistném kmeni způsobila větší ztrátu hodnoty, než je náklad na připsání </w:t>
      </w:r>
      <w:r w:rsidR="001D4B2E">
        <w:rPr>
          <w:rFonts w:ascii="Verdana" w:hAnsi="Verdana" w:cs="Times New Roman"/>
          <w:color w:val="333333"/>
          <w:lang w:val="cs-CZ"/>
        </w:rPr>
        <w:t>podílů na výnosech</w:t>
      </w:r>
      <w:r w:rsidRPr="00DA7B83">
        <w:rPr>
          <w:rFonts w:ascii="Verdana" w:hAnsi="Verdana" w:cs="Times New Roman"/>
          <w:color w:val="333333"/>
          <w:lang w:val="cs-CZ"/>
        </w:rPr>
        <w:t>.</w:t>
      </w:r>
    </w:p>
    <w:p w:rsidR="002339DA" w:rsidRPr="00DA7B83" w:rsidRDefault="002339DA" w:rsidP="00DA7B83">
      <w:pPr>
        <w:pStyle w:val="DTReportList"/>
        <w:numPr>
          <w:ilvl w:val="0"/>
          <w:numId w:val="40"/>
        </w:numPr>
        <w:rPr>
          <w:rFonts w:ascii="Verdana" w:hAnsi="Verdana" w:cs="Times New Roman"/>
          <w:color w:val="333333"/>
          <w:lang w:val="cs-CZ"/>
        </w:rPr>
      </w:pPr>
      <w:r w:rsidRPr="00DA7B83">
        <w:rPr>
          <w:rFonts w:ascii="Verdana" w:hAnsi="Verdana" w:cs="Times New Roman"/>
          <w:color w:val="333333"/>
          <w:lang w:val="cs-CZ"/>
        </w:rPr>
        <w:t xml:space="preserve">Pojistný matematik použije v testu postačitelnosti vyšší </w:t>
      </w:r>
      <w:r w:rsidR="001D4B2E">
        <w:rPr>
          <w:rFonts w:ascii="Verdana" w:hAnsi="Verdana" w:cs="Times New Roman"/>
          <w:color w:val="333333"/>
          <w:lang w:val="cs-CZ"/>
        </w:rPr>
        <w:t>podíly na výnosech</w:t>
      </w:r>
      <w:r w:rsidRPr="00DA7B83">
        <w:rPr>
          <w:rFonts w:ascii="Verdana" w:hAnsi="Verdana" w:cs="Times New Roman"/>
          <w:color w:val="333333"/>
          <w:lang w:val="cs-CZ"/>
        </w:rPr>
        <w:t xml:space="preserve">, pokud aktuální strategie vedení společnosti předpokládá budoucí alokaci </w:t>
      </w:r>
      <w:r w:rsidR="001D4B2E">
        <w:rPr>
          <w:rFonts w:ascii="Verdana" w:hAnsi="Verdana" w:cs="Times New Roman"/>
          <w:color w:val="333333"/>
          <w:lang w:val="cs-CZ"/>
        </w:rPr>
        <w:t>podílů na výnosech</w:t>
      </w:r>
      <w:r w:rsidRPr="00DA7B83">
        <w:rPr>
          <w:rFonts w:ascii="Verdana" w:hAnsi="Verdana" w:cs="Times New Roman"/>
          <w:color w:val="333333"/>
          <w:lang w:val="cs-CZ"/>
        </w:rPr>
        <w:t xml:space="preserve"> nad rámec právních závazků nebo „</w:t>
      </w:r>
      <w:proofErr w:type="spellStart"/>
      <w:r w:rsidRPr="00DA7B83">
        <w:rPr>
          <w:rFonts w:ascii="Verdana" w:hAnsi="Verdana" w:cs="Times New Roman"/>
          <w:color w:val="333333"/>
          <w:lang w:val="cs-CZ"/>
        </w:rPr>
        <w:t>constructive</w:t>
      </w:r>
      <w:proofErr w:type="spellEnd"/>
      <w:r w:rsidRPr="00DA7B83">
        <w:rPr>
          <w:rFonts w:ascii="Verdana" w:hAnsi="Verdana" w:cs="Times New Roman"/>
          <w:color w:val="333333"/>
          <w:lang w:val="cs-CZ"/>
        </w:rPr>
        <w:t xml:space="preserve"> </w:t>
      </w:r>
      <w:proofErr w:type="spellStart"/>
      <w:r w:rsidRPr="00DA7B83">
        <w:rPr>
          <w:rFonts w:ascii="Verdana" w:hAnsi="Verdana" w:cs="Times New Roman"/>
          <w:color w:val="333333"/>
          <w:lang w:val="cs-CZ"/>
        </w:rPr>
        <w:t>obligations</w:t>
      </w:r>
      <w:proofErr w:type="spellEnd"/>
      <w:r w:rsidRPr="00DA7B83">
        <w:rPr>
          <w:rFonts w:ascii="Verdana" w:hAnsi="Verdana" w:cs="Times New Roman"/>
          <w:color w:val="333333"/>
          <w:lang w:val="cs-CZ"/>
        </w:rPr>
        <w:t>“</w:t>
      </w:r>
      <w:r w:rsidR="001D4B2E">
        <w:rPr>
          <w:rFonts w:ascii="Verdana" w:hAnsi="Verdana" w:cs="Times New Roman"/>
          <w:color w:val="333333"/>
          <w:lang w:val="cs-CZ"/>
        </w:rPr>
        <w:t>.</w:t>
      </w:r>
    </w:p>
    <w:p w:rsidR="002339DA" w:rsidRPr="00DA7B83" w:rsidRDefault="002339DA" w:rsidP="00DA7B83">
      <w:pPr>
        <w:pStyle w:val="DTReportList"/>
        <w:numPr>
          <w:ilvl w:val="0"/>
          <w:numId w:val="40"/>
        </w:numPr>
        <w:rPr>
          <w:rFonts w:ascii="Verdana" w:hAnsi="Verdana" w:cs="Times New Roman"/>
          <w:color w:val="333333"/>
          <w:lang w:val="cs-CZ"/>
        </w:rPr>
      </w:pPr>
      <w:r w:rsidRPr="00DA7B83">
        <w:rPr>
          <w:rFonts w:ascii="Verdana" w:hAnsi="Verdana" w:cs="Times New Roman"/>
          <w:color w:val="333333"/>
          <w:lang w:val="cs-CZ"/>
        </w:rPr>
        <w:t>Tvorb</w:t>
      </w:r>
      <w:r w:rsidR="007F05BD">
        <w:rPr>
          <w:rFonts w:ascii="Verdana" w:hAnsi="Verdana" w:cs="Times New Roman"/>
          <w:color w:val="333333"/>
          <w:lang w:val="cs-CZ"/>
        </w:rPr>
        <w:t>a</w:t>
      </w:r>
      <w:r w:rsidRPr="00DA7B83">
        <w:rPr>
          <w:rFonts w:ascii="Verdana" w:hAnsi="Verdana" w:cs="Times New Roman"/>
          <w:color w:val="333333"/>
          <w:lang w:val="cs-CZ"/>
        </w:rPr>
        <w:t xml:space="preserve"> dodatečných rezerv způsoben</w:t>
      </w:r>
      <w:r w:rsidR="007F05BD">
        <w:rPr>
          <w:rFonts w:ascii="Verdana" w:hAnsi="Verdana" w:cs="Times New Roman"/>
          <w:color w:val="333333"/>
          <w:lang w:val="cs-CZ"/>
        </w:rPr>
        <w:t>á</w:t>
      </w:r>
      <w:r w:rsidRPr="00DA7B83">
        <w:rPr>
          <w:rFonts w:ascii="Verdana" w:hAnsi="Verdana" w:cs="Times New Roman"/>
          <w:color w:val="333333"/>
          <w:lang w:val="cs-CZ"/>
        </w:rPr>
        <w:t xml:space="preserve"> negativním výsledkem testu postačitelnosti technických rezerv životních pojištění </w:t>
      </w:r>
      <w:r w:rsidR="007F05BD">
        <w:rPr>
          <w:rFonts w:ascii="Verdana" w:hAnsi="Verdana" w:cs="Times New Roman"/>
          <w:color w:val="333333"/>
          <w:lang w:val="cs-CZ"/>
        </w:rPr>
        <w:t>se</w:t>
      </w:r>
      <w:r w:rsidRPr="00DA7B83">
        <w:rPr>
          <w:rFonts w:ascii="Verdana" w:hAnsi="Verdana" w:cs="Times New Roman"/>
          <w:color w:val="333333"/>
          <w:lang w:val="cs-CZ"/>
        </w:rPr>
        <w:t xml:space="preserve"> uprav</w:t>
      </w:r>
      <w:r w:rsidR="007F05BD">
        <w:rPr>
          <w:rFonts w:ascii="Verdana" w:hAnsi="Verdana" w:cs="Times New Roman"/>
          <w:color w:val="333333"/>
          <w:lang w:val="cs-CZ"/>
        </w:rPr>
        <w:t>í</w:t>
      </w:r>
      <w:r w:rsidRPr="00DA7B83">
        <w:rPr>
          <w:rFonts w:ascii="Verdana" w:hAnsi="Verdana" w:cs="Times New Roman"/>
          <w:color w:val="333333"/>
          <w:lang w:val="cs-CZ"/>
        </w:rPr>
        <w:t xml:space="preserve"> o rozdíl tržní a účetní hodnoty finančního umístění technických rezerv, pokud </w:t>
      </w:r>
      <w:r w:rsidR="001D4B2E">
        <w:rPr>
          <w:rFonts w:ascii="Verdana" w:hAnsi="Verdana" w:cs="Times New Roman"/>
          <w:color w:val="333333"/>
          <w:lang w:val="cs-CZ"/>
        </w:rPr>
        <w:t>k této úpravě již nedošlo v rámci testu samotného</w:t>
      </w:r>
      <w:r w:rsidRPr="00DA7B83">
        <w:rPr>
          <w:rFonts w:ascii="Verdana" w:hAnsi="Verdana" w:cs="Times New Roman"/>
          <w:color w:val="333333"/>
          <w:lang w:val="cs-CZ"/>
        </w:rPr>
        <w:t>.</w:t>
      </w:r>
    </w:p>
    <w:p w:rsidR="002339DA" w:rsidRPr="00DA7B83" w:rsidRDefault="002339DA" w:rsidP="00DA7B83">
      <w:pPr>
        <w:pStyle w:val="DTReportList"/>
        <w:numPr>
          <w:ilvl w:val="0"/>
          <w:numId w:val="40"/>
        </w:numPr>
        <w:rPr>
          <w:rFonts w:ascii="Verdana" w:hAnsi="Verdana" w:cs="Times New Roman"/>
          <w:color w:val="333333"/>
          <w:lang w:val="cs-CZ"/>
        </w:rPr>
      </w:pPr>
      <w:r w:rsidRPr="00DA7B83">
        <w:rPr>
          <w:rFonts w:ascii="Verdana" w:hAnsi="Verdana" w:cs="Times New Roman"/>
          <w:color w:val="333333"/>
          <w:lang w:val="cs-CZ"/>
        </w:rPr>
        <w:t xml:space="preserve">Pokud je část finančního umístění technických rezerv přeceňována na tržní hodnotu pouze přes vlastní kapitál, bylo by žádoucí účtovat tvorbu dodatečných rezerv způsobenou negativním výsledkem testu postačitelnosti technických rezerv životních pojištění proti vlastnímu kapitálu, a to až do výše odpovídajících </w:t>
      </w:r>
      <w:proofErr w:type="spellStart"/>
      <w:r w:rsidRPr="00DA7B83">
        <w:rPr>
          <w:rFonts w:ascii="Verdana" w:hAnsi="Verdana" w:cs="Times New Roman"/>
          <w:color w:val="333333"/>
          <w:lang w:val="cs-CZ"/>
        </w:rPr>
        <w:t>přeceňovacích</w:t>
      </w:r>
      <w:proofErr w:type="spellEnd"/>
      <w:r w:rsidRPr="00DA7B83">
        <w:rPr>
          <w:rFonts w:ascii="Verdana" w:hAnsi="Verdana" w:cs="Times New Roman"/>
          <w:color w:val="333333"/>
          <w:lang w:val="cs-CZ"/>
        </w:rPr>
        <w:t xml:space="preserve"> rozdílů na finančním umístění. Úprava tvorby dodatečné rezervy o </w:t>
      </w:r>
      <w:proofErr w:type="spellStart"/>
      <w:r w:rsidRPr="00DA7B83">
        <w:rPr>
          <w:rFonts w:ascii="Verdana" w:hAnsi="Verdana" w:cs="Times New Roman"/>
          <w:color w:val="333333"/>
          <w:lang w:val="cs-CZ"/>
        </w:rPr>
        <w:t>přeceňovací</w:t>
      </w:r>
      <w:proofErr w:type="spellEnd"/>
      <w:r w:rsidRPr="00DA7B83">
        <w:rPr>
          <w:rFonts w:ascii="Verdana" w:hAnsi="Verdana" w:cs="Times New Roman"/>
          <w:color w:val="333333"/>
          <w:lang w:val="cs-CZ"/>
        </w:rPr>
        <w:t xml:space="preserve"> rozdíly zaúčtované proti vlastnímu kapitálu je podmíněno souladem s Českými účetními standardy (v době vydání této směrnice nebylo možné postup uplatnit).</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w:t>
      </w:r>
      <w:r w:rsidR="009861D6">
        <w:rPr>
          <w:rFonts w:ascii="Verdana" w:hAnsi="Verdana"/>
          <w:color w:val="333333"/>
          <w:sz w:val="20"/>
          <w:szCs w:val="20"/>
          <w:lang w:val="cs-CZ"/>
        </w:rPr>
        <w:t>5</w:t>
      </w:r>
      <w:r w:rsidRPr="00DA7B83">
        <w:rPr>
          <w:rFonts w:ascii="Verdana" w:hAnsi="Verdana"/>
          <w:color w:val="333333"/>
          <w:sz w:val="20"/>
          <w:szCs w:val="20"/>
          <w:lang w:val="cs-CZ"/>
        </w:rPr>
        <w:t>. Minimální hodnota pojistných závazků se spočítá pomocí nejlepšího odhadu předpokladů budoucího vývoje vstupních parametrů upravených o přirážky na nepříznivý vývoj.</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w:t>
      </w:r>
      <w:r w:rsidR="009861D6">
        <w:rPr>
          <w:rFonts w:ascii="Verdana" w:hAnsi="Verdana"/>
          <w:color w:val="333333"/>
          <w:sz w:val="20"/>
          <w:szCs w:val="20"/>
          <w:lang w:val="cs-CZ"/>
        </w:rPr>
        <w:t>6</w:t>
      </w:r>
      <w:r w:rsidRPr="00DA7B83">
        <w:rPr>
          <w:rFonts w:ascii="Verdana" w:hAnsi="Verdana"/>
          <w:color w:val="333333"/>
          <w:sz w:val="20"/>
          <w:szCs w:val="20"/>
          <w:lang w:val="cs-CZ"/>
        </w:rPr>
        <w:t>. Předpoklady se dělí na předpoklady ekonomické a na předpoklady specifické pro pojistný produkt či pro pojišťovnu (dále "pojistné předpoklady").</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w:t>
      </w:r>
      <w:r w:rsidR="009861D6">
        <w:rPr>
          <w:rFonts w:ascii="Verdana" w:hAnsi="Verdana"/>
          <w:color w:val="333333"/>
          <w:sz w:val="20"/>
          <w:szCs w:val="20"/>
          <w:lang w:val="cs-CZ"/>
        </w:rPr>
        <w:t>7</w:t>
      </w:r>
      <w:r w:rsidRPr="00DA7B83">
        <w:rPr>
          <w:rFonts w:ascii="Verdana" w:hAnsi="Verdana"/>
          <w:color w:val="333333"/>
          <w:sz w:val="20"/>
          <w:szCs w:val="20"/>
          <w:lang w:val="cs-CZ"/>
        </w:rPr>
        <w:t>. Ekonomické předpoklady se použijí konzistentně s tržním oceněním, pokud je k dispozici.</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w:t>
      </w:r>
      <w:r w:rsidR="009861D6">
        <w:rPr>
          <w:rFonts w:ascii="Verdana" w:hAnsi="Verdana"/>
          <w:color w:val="333333"/>
          <w:sz w:val="20"/>
          <w:szCs w:val="20"/>
          <w:lang w:val="cs-CZ"/>
        </w:rPr>
        <w:t>8</w:t>
      </w:r>
      <w:r w:rsidRPr="00DA7B83">
        <w:rPr>
          <w:rFonts w:ascii="Verdana" w:hAnsi="Verdana"/>
          <w:color w:val="333333"/>
          <w:sz w:val="20"/>
          <w:szCs w:val="20"/>
          <w:lang w:val="cs-CZ"/>
        </w:rPr>
        <w:t>. Nejlepší odhad pojistných předpokladů vychází z bezprostřední minulé zkušenosti pojišťovny a je upraven o očekávané budoucí změny. Pojistné předpoklady se mohou lišit pro různé části pojistného kmene podle povahy produktů a jejich sjednávání.</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w:t>
      </w:r>
      <w:r w:rsidR="009861D6">
        <w:rPr>
          <w:rFonts w:ascii="Verdana" w:hAnsi="Verdana"/>
          <w:color w:val="333333"/>
          <w:sz w:val="20"/>
          <w:szCs w:val="20"/>
          <w:lang w:val="cs-CZ"/>
        </w:rPr>
        <w:t>9</w:t>
      </w:r>
      <w:r w:rsidRPr="00DA7B83">
        <w:rPr>
          <w:rFonts w:ascii="Verdana" w:hAnsi="Verdana"/>
          <w:color w:val="333333"/>
          <w:sz w:val="20"/>
          <w:szCs w:val="20"/>
          <w:lang w:val="cs-CZ"/>
        </w:rPr>
        <w:t>. Pokud společnost nemá vlastní analýzy pro stanovení nejlepšího odhadu pojistných předpokladů, použijí se jiné dostupné podklady použitelné pro daný pojistný kmen.</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w:t>
      </w:r>
      <w:r w:rsidR="009861D6">
        <w:rPr>
          <w:rFonts w:ascii="Verdana" w:hAnsi="Verdana"/>
          <w:color w:val="333333"/>
          <w:sz w:val="20"/>
          <w:szCs w:val="20"/>
          <w:lang w:val="cs-CZ"/>
        </w:rPr>
        <w:t>10</w:t>
      </w:r>
      <w:r w:rsidRPr="00DA7B83">
        <w:rPr>
          <w:rFonts w:ascii="Verdana" w:hAnsi="Verdana"/>
          <w:color w:val="333333"/>
          <w:sz w:val="20"/>
          <w:szCs w:val="20"/>
          <w:lang w:val="cs-CZ"/>
        </w:rPr>
        <w:t>. Přirážkami na nepříznivý vývoj se rozumí posun vstupních parametrů takovým směrem, že dojde k navýšení minimální hodnoty pojistných závazků.</w:t>
      </w:r>
      <w:bookmarkStart w:id="0" w:name="_GoBack"/>
      <w:bookmarkEnd w:id="0"/>
      <w:r w:rsidR="001500E3" w:rsidRPr="00DA7B83">
        <w:rPr>
          <w:rFonts w:ascii="Verdana" w:hAnsi="Verdana"/>
          <w:color w:val="333333"/>
          <w:sz w:val="20"/>
          <w:szCs w:val="20"/>
          <w:lang w:val="cs-CZ"/>
        </w:rPr>
        <w:t xml:space="preserve"> </w:t>
      </w:r>
      <w:r w:rsidR="000B2A60" w:rsidRPr="00DA7B83">
        <w:rPr>
          <w:rFonts w:ascii="Verdana" w:hAnsi="Verdana"/>
          <w:color w:val="333333"/>
          <w:sz w:val="20"/>
          <w:szCs w:val="20"/>
          <w:lang w:val="cs-CZ"/>
        </w:rPr>
        <w:t xml:space="preserve">Přirážky </w:t>
      </w:r>
      <w:r w:rsidR="007F05BD">
        <w:rPr>
          <w:rFonts w:ascii="Verdana" w:hAnsi="Verdana"/>
          <w:color w:val="333333"/>
          <w:sz w:val="20"/>
          <w:szCs w:val="20"/>
          <w:lang w:val="cs-CZ"/>
        </w:rPr>
        <w:t>n</w:t>
      </w:r>
      <w:r w:rsidR="000B2A60" w:rsidRPr="00DA7B83">
        <w:rPr>
          <w:rFonts w:ascii="Verdana" w:hAnsi="Verdana"/>
          <w:color w:val="333333"/>
          <w:sz w:val="20"/>
          <w:szCs w:val="20"/>
          <w:lang w:val="cs-CZ"/>
        </w:rPr>
        <w:t xml:space="preserve">a nepříznivý vývoj zohledňují riziko odchýlení budoucího vývoje od </w:t>
      </w:r>
      <w:r w:rsidR="000C142E" w:rsidRPr="00DA7B83">
        <w:rPr>
          <w:rFonts w:ascii="Verdana" w:hAnsi="Verdana"/>
          <w:color w:val="333333"/>
          <w:sz w:val="20"/>
          <w:szCs w:val="20"/>
          <w:lang w:val="cs-CZ"/>
        </w:rPr>
        <w:t>nejlepších odhadů</w:t>
      </w:r>
      <w:r w:rsidR="000B2A60" w:rsidRPr="00DA7B83">
        <w:rPr>
          <w:rFonts w:ascii="Verdana" w:hAnsi="Verdana"/>
          <w:color w:val="333333"/>
          <w:sz w:val="20"/>
          <w:szCs w:val="20"/>
          <w:lang w:val="cs-CZ"/>
        </w:rPr>
        <w:t xml:space="preserve"> pro</w:t>
      </w:r>
      <w:r w:rsidR="000C142E" w:rsidRPr="00DA7B83">
        <w:rPr>
          <w:rFonts w:ascii="Verdana" w:hAnsi="Verdana"/>
          <w:color w:val="333333"/>
          <w:sz w:val="20"/>
          <w:szCs w:val="20"/>
          <w:lang w:val="cs-CZ"/>
        </w:rPr>
        <w:t xml:space="preserve"> předpoklady</w:t>
      </w:r>
      <w:r w:rsidR="007F05BD">
        <w:rPr>
          <w:rFonts w:ascii="Verdana" w:hAnsi="Verdana"/>
          <w:color w:val="333333"/>
          <w:sz w:val="20"/>
          <w:szCs w:val="20"/>
          <w:lang w:val="cs-CZ"/>
        </w:rPr>
        <w:t>,</w:t>
      </w:r>
      <w:r w:rsidR="000C142E" w:rsidRPr="00DA7B83">
        <w:rPr>
          <w:rFonts w:ascii="Verdana" w:hAnsi="Verdana"/>
          <w:color w:val="333333"/>
          <w:sz w:val="20"/>
          <w:szCs w:val="20"/>
          <w:lang w:val="cs-CZ"/>
        </w:rPr>
        <w:t xml:space="preserve"> pro</w:t>
      </w:r>
      <w:r w:rsidR="000B2A60" w:rsidRPr="00DA7B83">
        <w:rPr>
          <w:rFonts w:ascii="Verdana" w:hAnsi="Verdana"/>
          <w:color w:val="333333"/>
          <w:sz w:val="20"/>
          <w:szCs w:val="20"/>
          <w:lang w:val="cs-CZ"/>
        </w:rPr>
        <w:t xml:space="preserve"> které neexistuje likvidní trh (např. pojistně technické předpoklady).</w:t>
      </w:r>
      <w:r w:rsidR="007F05BD">
        <w:rPr>
          <w:rFonts w:ascii="Verdana" w:hAnsi="Verdana"/>
          <w:color w:val="333333"/>
          <w:sz w:val="20"/>
          <w:szCs w:val="20"/>
          <w:lang w:val="cs-CZ"/>
        </w:rPr>
        <w:t xml:space="preserve"> </w:t>
      </w:r>
      <w:r w:rsidRPr="00DA7B83">
        <w:rPr>
          <w:rFonts w:ascii="Verdana" w:hAnsi="Verdana"/>
          <w:color w:val="333333"/>
          <w:sz w:val="20"/>
          <w:szCs w:val="20"/>
          <w:lang w:val="cs-CZ"/>
        </w:rPr>
        <w:t xml:space="preserve">Zahrnutí těchto přirážek do výpočtu minimální hodnoty pojistných závazků má vyjadřovat tržní ocenění rizika </w:t>
      </w:r>
      <w:r w:rsidR="000C142E" w:rsidRPr="00DA7B83">
        <w:rPr>
          <w:rFonts w:ascii="Verdana" w:hAnsi="Verdana"/>
          <w:color w:val="333333"/>
          <w:sz w:val="20"/>
          <w:szCs w:val="20"/>
          <w:lang w:val="cs-CZ"/>
        </w:rPr>
        <w:t>předpokladů</w:t>
      </w:r>
      <w:r w:rsidR="007F05BD">
        <w:rPr>
          <w:rFonts w:ascii="Verdana" w:hAnsi="Verdana"/>
          <w:color w:val="333333"/>
          <w:sz w:val="20"/>
          <w:szCs w:val="20"/>
          <w:lang w:val="cs-CZ"/>
        </w:rPr>
        <w:t>,</w:t>
      </w:r>
      <w:r w:rsidR="000C142E" w:rsidRPr="00DA7B83">
        <w:rPr>
          <w:rFonts w:ascii="Verdana" w:hAnsi="Verdana"/>
          <w:color w:val="333333"/>
          <w:sz w:val="20"/>
          <w:szCs w:val="20"/>
          <w:lang w:val="cs-CZ"/>
        </w:rPr>
        <w:t xml:space="preserve"> </w:t>
      </w:r>
      <w:r w:rsidR="000B2A60" w:rsidRPr="00DA7B83">
        <w:rPr>
          <w:rFonts w:ascii="Verdana" w:hAnsi="Verdana"/>
          <w:color w:val="333333"/>
          <w:sz w:val="20"/>
          <w:szCs w:val="20"/>
          <w:lang w:val="cs-CZ"/>
        </w:rPr>
        <w:t>pro které neexistuje likvidní trh.</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3.1</w:t>
      </w:r>
      <w:r w:rsidR="009861D6">
        <w:rPr>
          <w:rFonts w:ascii="Verdana" w:hAnsi="Verdana"/>
          <w:color w:val="333333"/>
          <w:sz w:val="20"/>
          <w:szCs w:val="20"/>
          <w:lang w:val="cs-CZ"/>
        </w:rPr>
        <w:t>1</w:t>
      </w:r>
      <w:r w:rsidRPr="00DA7B83">
        <w:rPr>
          <w:rFonts w:ascii="Verdana" w:hAnsi="Verdana"/>
          <w:color w:val="333333"/>
          <w:sz w:val="20"/>
          <w:szCs w:val="20"/>
          <w:lang w:val="cs-CZ"/>
        </w:rPr>
        <w:t xml:space="preserve">. </w:t>
      </w:r>
      <w:r w:rsidR="000B2A60" w:rsidRPr="00DA7B83">
        <w:rPr>
          <w:rFonts w:ascii="Verdana" w:hAnsi="Verdana"/>
          <w:color w:val="333333"/>
          <w:sz w:val="20"/>
          <w:szCs w:val="20"/>
          <w:lang w:val="cs-CZ"/>
        </w:rPr>
        <w:t xml:space="preserve">Výše přirážek na nepříznivý vývoj </w:t>
      </w:r>
      <w:r w:rsidR="006D06E8" w:rsidRPr="00DA7B83">
        <w:rPr>
          <w:rFonts w:ascii="Verdana" w:hAnsi="Verdana"/>
          <w:color w:val="333333"/>
          <w:sz w:val="20"/>
          <w:szCs w:val="20"/>
          <w:lang w:val="cs-CZ"/>
        </w:rPr>
        <w:t xml:space="preserve">se </w:t>
      </w:r>
      <w:r w:rsidR="000C142E" w:rsidRPr="00DA7B83">
        <w:rPr>
          <w:rFonts w:ascii="Verdana" w:hAnsi="Verdana"/>
          <w:color w:val="333333"/>
          <w:sz w:val="20"/>
          <w:szCs w:val="20"/>
          <w:lang w:val="cs-CZ"/>
        </w:rPr>
        <w:t>stanoví</w:t>
      </w:r>
      <w:r w:rsidR="006D06E8" w:rsidRPr="00DA7B83">
        <w:rPr>
          <w:rFonts w:ascii="Verdana" w:hAnsi="Verdana"/>
          <w:color w:val="333333"/>
          <w:sz w:val="20"/>
          <w:szCs w:val="20"/>
          <w:lang w:val="cs-CZ"/>
        </w:rPr>
        <w:t xml:space="preserve"> na základě </w:t>
      </w:r>
      <w:r w:rsidR="000C142E" w:rsidRPr="00DA7B83">
        <w:rPr>
          <w:rFonts w:ascii="Verdana" w:hAnsi="Verdana"/>
          <w:color w:val="333333"/>
          <w:sz w:val="20"/>
          <w:szCs w:val="20"/>
          <w:lang w:val="cs-CZ"/>
        </w:rPr>
        <w:t xml:space="preserve">vlastní </w:t>
      </w:r>
      <w:r w:rsidR="006D06E8" w:rsidRPr="00DA7B83">
        <w:rPr>
          <w:rFonts w:ascii="Verdana" w:hAnsi="Verdana"/>
          <w:color w:val="333333"/>
          <w:sz w:val="20"/>
          <w:szCs w:val="20"/>
          <w:lang w:val="cs-CZ"/>
        </w:rPr>
        <w:t>rizikové analýzy společnosti</w:t>
      </w:r>
      <w:r w:rsidR="000B2A60" w:rsidRPr="00DA7B83">
        <w:rPr>
          <w:rFonts w:ascii="Verdana" w:hAnsi="Verdana"/>
          <w:color w:val="333333"/>
          <w:sz w:val="20"/>
          <w:szCs w:val="20"/>
          <w:lang w:val="cs-CZ"/>
        </w:rPr>
        <w:t xml:space="preserve">. </w:t>
      </w:r>
      <w:r w:rsidR="006D06E8" w:rsidRPr="00DA7B83">
        <w:rPr>
          <w:rFonts w:ascii="Verdana" w:hAnsi="Verdana"/>
          <w:color w:val="333333"/>
          <w:sz w:val="20"/>
          <w:szCs w:val="20"/>
          <w:lang w:val="cs-CZ"/>
        </w:rPr>
        <w:t>Pokud riziková analýza ve společnosti neexistuje nebo její výsledky jsou nedostačující, jsou stanoveny doporučené přirážky.</w:t>
      </w:r>
      <w:r w:rsidR="000B2A60" w:rsidRPr="00DA7B83">
        <w:rPr>
          <w:rFonts w:ascii="Verdana" w:hAnsi="Verdana"/>
          <w:color w:val="333333"/>
          <w:sz w:val="20"/>
          <w:szCs w:val="20"/>
          <w:lang w:val="cs-CZ"/>
        </w:rPr>
        <w:t xml:space="preserve"> </w:t>
      </w:r>
      <w:r w:rsidR="006D06E8" w:rsidRPr="00DA7B83">
        <w:rPr>
          <w:rFonts w:ascii="Verdana" w:hAnsi="Verdana"/>
          <w:color w:val="333333"/>
          <w:sz w:val="20"/>
          <w:szCs w:val="20"/>
          <w:lang w:val="cs-CZ"/>
        </w:rPr>
        <w:t xml:space="preserve">Tyto </w:t>
      </w:r>
      <w:r w:rsidRPr="00DA7B83">
        <w:rPr>
          <w:rFonts w:ascii="Verdana" w:hAnsi="Verdana"/>
          <w:color w:val="333333"/>
          <w:sz w:val="20"/>
          <w:szCs w:val="20"/>
          <w:lang w:val="cs-CZ"/>
        </w:rPr>
        <w:t>přirážky k nejlepšímu odhadu předpokladů jsou uvedeny v bodě 3.1</w:t>
      </w:r>
      <w:r w:rsidR="009861D6">
        <w:rPr>
          <w:rFonts w:ascii="Verdana" w:hAnsi="Verdana"/>
          <w:color w:val="333333"/>
          <w:sz w:val="20"/>
          <w:szCs w:val="20"/>
          <w:lang w:val="cs-CZ"/>
        </w:rPr>
        <w:t>5</w:t>
      </w:r>
      <w:r w:rsidRPr="00DA7B83">
        <w:rPr>
          <w:rFonts w:ascii="Verdana" w:hAnsi="Verdana"/>
          <w:color w:val="333333"/>
          <w:sz w:val="20"/>
          <w:szCs w:val="20"/>
          <w:lang w:val="cs-CZ"/>
        </w:rPr>
        <w:t xml:space="preserve">. </w:t>
      </w:r>
      <w:r w:rsidR="008D60AC">
        <w:rPr>
          <w:rFonts w:ascii="Verdana" w:hAnsi="Verdana"/>
          <w:color w:val="333333"/>
          <w:sz w:val="20"/>
          <w:szCs w:val="20"/>
          <w:lang w:val="cs-CZ"/>
        </w:rPr>
        <w:t>Použité předpoklady včetně přirážek schvaluje</w:t>
      </w:r>
      <w:r w:rsidRPr="00DA7B83">
        <w:rPr>
          <w:rFonts w:ascii="Verdana" w:hAnsi="Verdana"/>
          <w:color w:val="333333"/>
          <w:sz w:val="20"/>
          <w:szCs w:val="20"/>
          <w:lang w:val="cs-CZ"/>
        </w:rPr>
        <w:t xml:space="preserve"> odpovědný pojistný matematik společnosti na základě posouzení okolností.</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lastRenderedPageBreak/>
        <w:t>3.1</w:t>
      </w:r>
      <w:r w:rsidR="009861D6">
        <w:rPr>
          <w:rFonts w:ascii="Verdana" w:hAnsi="Verdana"/>
          <w:color w:val="333333"/>
          <w:sz w:val="20"/>
          <w:szCs w:val="20"/>
          <w:lang w:val="cs-CZ"/>
        </w:rPr>
        <w:t>2</w:t>
      </w:r>
      <w:r w:rsidRPr="00DA7B83">
        <w:rPr>
          <w:rFonts w:ascii="Verdana" w:hAnsi="Verdana"/>
          <w:color w:val="333333"/>
          <w:sz w:val="20"/>
          <w:szCs w:val="20"/>
          <w:lang w:val="cs-CZ"/>
        </w:rPr>
        <w:t>. Správní náklady použité pro výpočet minimální hodnoty pojistných závazků vycházejí ze skutečných správních nákladů společnosti. Uvažuje se očekávané navyšování nákladů vlivem nákladové inflace, která musí být konzistentní s ostatními předpoklady úrokových měr a s očekávaným navyšováním nákladů společnosti.</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3.1</w:t>
      </w:r>
      <w:r w:rsidR="009861D6">
        <w:rPr>
          <w:rFonts w:ascii="Verdana" w:hAnsi="Verdana"/>
          <w:color w:val="333333"/>
          <w:sz w:val="20"/>
          <w:szCs w:val="20"/>
          <w:lang w:val="cs-CZ"/>
        </w:rPr>
        <w:t>3</w:t>
      </w:r>
      <w:r w:rsidRPr="00DA7B83">
        <w:rPr>
          <w:rFonts w:ascii="Verdana" w:hAnsi="Verdana"/>
          <w:color w:val="333333"/>
          <w:sz w:val="20"/>
          <w:szCs w:val="20"/>
          <w:lang w:val="cs-CZ"/>
        </w:rPr>
        <w:t>. Při výpočtu minimální hodnoty pojistných závazků se uvažují pravděpodobnosti zániku pojištění a způsob výpočtu odkupného.</w:t>
      </w:r>
    </w:p>
    <w:p w:rsidR="002339DA" w:rsidRPr="00DA7B83" w:rsidRDefault="002339DA" w:rsidP="00317508">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3.1</w:t>
      </w:r>
      <w:r w:rsidR="009861D6">
        <w:rPr>
          <w:rFonts w:ascii="Verdana" w:hAnsi="Verdana"/>
          <w:color w:val="333333"/>
          <w:sz w:val="20"/>
          <w:szCs w:val="20"/>
          <w:lang w:val="cs-CZ"/>
        </w:rPr>
        <w:t>4</w:t>
      </w:r>
      <w:r w:rsidRPr="00DA7B83">
        <w:rPr>
          <w:rFonts w:ascii="Verdana" w:hAnsi="Verdana"/>
          <w:color w:val="333333"/>
          <w:sz w:val="20"/>
          <w:szCs w:val="20"/>
          <w:lang w:val="cs-CZ"/>
        </w:rPr>
        <w:t>. Při výpočtu minimální hodnoty pojistných závazků se zohlední vnitřní i časová cena derivátů (opcí a garancí) vložených do pojistných smluv</w:t>
      </w:r>
      <w:r w:rsidRPr="001D4B2E">
        <w:rPr>
          <w:rFonts w:ascii="Verdana" w:hAnsi="Verdana"/>
          <w:color w:val="333333"/>
          <w:sz w:val="20"/>
          <w:szCs w:val="20"/>
          <w:lang w:val="cs-CZ"/>
        </w:rPr>
        <w:t>.</w:t>
      </w:r>
      <w:r w:rsidRPr="00DA7B83">
        <w:rPr>
          <w:rFonts w:ascii="Verdana" w:hAnsi="Verdana"/>
          <w:color w:val="333333"/>
          <w:sz w:val="20"/>
          <w:szCs w:val="20"/>
          <w:lang w:val="cs-CZ"/>
        </w:rPr>
        <w:t xml:space="preserve"> Použitá metody a míra zjednodušení by měla odpovídat významnosti opcí a garancí v pojistných závazcích. Pro tržně-konzistentní ocenění časové hodnoty vložených opcí a garancí doporučujeme uvažovat následující metody:</w:t>
      </w:r>
    </w:p>
    <w:p w:rsidR="002339DA" w:rsidRPr="00DA7B83" w:rsidRDefault="002339DA" w:rsidP="00DA7B83">
      <w:pPr>
        <w:pStyle w:val="DTReportList"/>
        <w:numPr>
          <w:ilvl w:val="0"/>
          <w:numId w:val="41"/>
        </w:numPr>
        <w:rPr>
          <w:rFonts w:ascii="Verdana" w:hAnsi="Verdana" w:cs="Times New Roman"/>
          <w:color w:val="333333"/>
          <w:lang w:val="cs-CZ"/>
        </w:rPr>
      </w:pPr>
      <w:r w:rsidRPr="00DA7B83">
        <w:rPr>
          <w:rFonts w:ascii="Verdana" w:hAnsi="Verdana" w:cs="Times New Roman"/>
          <w:color w:val="333333"/>
          <w:lang w:val="cs-CZ"/>
        </w:rPr>
        <w:t>stochastický model využívající tržně-konzistentní model aktiv</w:t>
      </w:r>
    </w:p>
    <w:p w:rsidR="002339DA" w:rsidRPr="00DA7B83" w:rsidRDefault="002339DA" w:rsidP="00DA7B83">
      <w:pPr>
        <w:pStyle w:val="DTReportList"/>
        <w:numPr>
          <w:ilvl w:val="0"/>
          <w:numId w:val="41"/>
        </w:numPr>
        <w:rPr>
          <w:rFonts w:ascii="Verdana" w:hAnsi="Verdana" w:cs="Times New Roman"/>
          <w:color w:val="333333"/>
          <w:lang w:val="cs-CZ"/>
        </w:rPr>
      </w:pPr>
      <w:r w:rsidRPr="00DA7B83">
        <w:rPr>
          <w:rFonts w:ascii="Verdana" w:hAnsi="Verdana" w:cs="Times New Roman"/>
          <w:color w:val="333333"/>
          <w:lang w:val="cs-CZ"/>
        </w:rPr>
        <w:t>sada deterministických projekcí s přiřazenými pravděpodobnostmi</w:t>
      </w:r>
    </w:p>
    <w:p w:rsidR="002339DA" w:rsidRPr="00DA7B83" w:rsidRDefault="002339DA" w:rsidP="00DA7B83">
      <w:pPr>
        <w:pStyle w:val="DTReportList"/>
        <w:numPr>
          <w:ilvl w:val="0"/>
          <w:numId w:val="41"/>
        </w:numPr>
        <w:rPr>
          <w:rFonts w:ascii="Verdana" w:hAnsi="Verdana" w:cs="Times New Roman"/>
          <w:color w:val="333333"/>
          <w:lang w:val="cs-CZ"/>
        </w:rPr>
      </w:pPr>
      <w:r w:rsidRPr="00DA7B83">
        <w:rPr>
          <w:rFonts w:ascii="Verdana" w:hAnsi="Verdana" w:cs="Times New Roman"/>
          <w:color w:val="333333"/>
          <w:lang w:val="cs-CZ"/>
        </w:rPr>
        <w:t>deterministický výpočet založený na projekci budoucích cash-</w:t>
      </w:r>
      <w:proofErr w:type="spellStart"/>
      <w:r w:rsidRPr="00DA7B83">
        <w:rPr>
          <w:rFonts w:ascii="Verdana" w:hAnsi="Verdana" w:cs="Times New Roman"/>
          <w:color w:val="333333"/>
          <w:lang w:val="cs-CZ"/>
        </w:rPr>
        <w:t>flow</w:t>
      </w:r>
      <w:proofErr w:type="spellEnd"/>
      <w:r w:rsidRPr="00DA7B83">
        <w:rPr>
          <w:rFonts w:ascii="Verdana" w:hAnsi="Verdana" w:cs="Times New Roman"/>
          <w:color w:val="333333"/>
          <w:lang w:val="cs-CZ"/>
        </w:rPr>
        <w:t xml:space="preserve"> za předpokladu, že tento výpočet je tržně-konzistentním oceněním technických rezerv (včetně ceny opcí a garancí)</w:t>
      </w:r>
      <w:r w:rsidR="001D2459" w:rsidRPr="001D4B2E">
        <w:rPr>
          <w:rFonts w:ascii="Verdana" w:hAnsi="Verdana" w:cs="Times New Roman"/>
          <w:color w:val="333333"/>
          <w:lang w:val="cs-CZ"/>
        </w:rPr>
        <w:t xml:space="preserve"> – příkladem této metody je odečtení při</w:t>
      </w:r>
      <w:r w:rsidR="001D2459" w:rsidRPr="00DA7B83">
        <w:rPr>
          <w:rFonts w:ascii="Verdana" w:hAnsi="Verdana" w:cs="Times New Roman"/>
          <w:color w:val="333333"/>
          <w:lang w:val="cs-CZ"/>
        </w:rPr>
        <w:t>rážky od úrokového výnosu</w:t>
      </w:r>
    </w:p>
    <w:p w:rsidR="002339DA" w:rsidRPr="00DA7B83" w:rsidRDefault="002339DA" w:rsidP="00901564">
      <w:pPr>
        <w:spacing w:before="100" w:beforeAutospacing="1" w:after="100" w:afterAutospacing="1"/>
        <w:rPr>
          <w:rFonts w:ascii="Verdana" w:hAnsi="Verdana"/>
          <w:color w:val="333333"/>
          <w:sz w:val="20"/>
          <w:szCs w:val="20"/>
          <w:lang w:val="cs-CZ"/>
        </w:rPr>
      </w:pPr>
      <w:r w:rsidRPr="00DA7B83">
        <w:rPr>
          <w:rFonts w:ascii="Verdana" w:hAnsi="Verdana"/>
          <w:color w:val="333333"/>
          <w:sz w:val="20"/>
          <w:szCs w:val="20"/>
          <w:lang w:val="cs-CZ"/>
        </w:rPr>
        <w:t>Poslední dvě metody navrhujeme používat jen při malé významnosti časové hodnoty opcí a garancí.</w:t>
      </w:r>
    </w:p>
    <w:p w:rsidR="002339DA" w:rsidRPr="00DA7B83" w:rsidRDefault="002339DA" w:rsidP="00317508">
      <w:pPr>
        <w:spacing w:before="100" w:beforeAutospacing="1" w:after="100" w:afterAutospacing="1"/>
        <w:rPr>
          <w:rFonts w:ascii="Verdana" w:hAnsi="Verdana"/>
          <w:color w:val="333333"/>
          <w:sz w:val="20"/>
          <w:szCs w:val="20"/>
          <w:lang w:val="cs-CZ"/>
        </w:rPr>
      </w:pPr>
      <w:r w:rsidRPr="001D4B2E">
        <w:rPr>
          <w:rFonts w:ascii="Verdana" w:hAnsi="Verdana"/>
          <w:color w:val="333333"/>
          <w:sz w:val="20"/>
          <w:szCs w:val="20"/>
          <w:lang w:val="cs-CZ"/>
        </w:rPr>
        <w:t>3.1</w:t>
      </w:r>
      <w:r w:rsidR="009861D6">
        <w:rPr>
          <w:rFonts w:ascii="Verdana" w:hAnsi="Verdana"/>
          <w:color w:val="333333"/>
          <w:sz w:val="20"/>
          <w:szCs w:val="20"/>
          <w:lang w:val="cs-CZ"/>
        </w:rPr>
        <w:t>5</w:t>
      </w:r>
      <w:r w:rsidRPr="001D4B2E">
        <w:rPr>
          <w:rFonts w:ascii="Verdana" w:hAnsi="Verdana"/>
          <w:color w:val="333333"/>
          <w:sz w:val="20"/>
          <w:szCs w:val="20"/>
          <w:lang w:val="cs-CZ"/>
        </w:rPr>
        <w:t>. Doporučené minimální přirážky jsou:</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545"/>
        <w:gridCol w:w="2295"/>
      </w:tblGrid>
      <w:tr w:rsidR="002339DA" w:rsidRPr="00DA7B83">
        <w:trPr>
          <w:tblCellSpacing w:w="15" w:type="dxa"/>
          <w:jc w:val="center"/>
        </w:trPr>
        <w:tc>
          <w:tcPr>
            <w:tcW w:w="4500" w:type="dxa"/>
            <w:tcBorders>
              <w:top w:val="outset" w:sz="6" w:space="0" w:color="auto"/>
              <w:bottom w:val="outset" w:sz="6" w:space="0" w:color="auto"/>
              <w:right w:val="outset" w:sz="6" w:space="0" w:color="auto"/>
            </w:tcBorders>
            <w:vAlign w:val="center"/>
          </w:tcPr>
          <w:p w:rsidR="002339DA" w:rsidRPr="00DA7B83" w:rsidRDefault="002339DA" w:rsidP="00317508">
            <w:pPr>
              <w:rPr>
                <w:rFonts w:ascii="Verdana" w:hAnsi="Verdana"/>
                <w:color w:val="333333"/>
                <w:sz w:val="20"/>
                <w:szCs w:val="20"/>
                <w:lang w:val="cs-CZ"/>
              </w:rPr>
            </w:pPr>
            <w:r w:rsidRPr="00DA7B83">
              <w:rPr>
                <w:rFonts w:ascii="Verdana" w:hAnsi="Verdana"/>
                <w:b/>
                <w:bCs/>
                <w:color w:val="333333"/>
                <w:sz w:val="20"/>
                <w:szCs w:val="20"/>
                <w:lang w:val="cs-CZ"/>
              </w:rPr>
              <w:t>Riziko</w:t>
            </w:r>
          </w:p>
        </w:tc>
        <w:tc>
          <w:tcPr>
            <w:tcW w:w="2250" w:type="dxa"/>
            <w:tcBorders>
              <w:top w:val="outset" w:sz="6" w:space="0" w:color="auto"/>
              <w:left w:val="outset" w:sz="6" w:space="0" w:color="auto"/>
              <w:bottom w:val="outset" w:sz="6" w:space="0" w:color="auto"/>
            </w:tcBorders>
            <w:vAlign w:val="center"/>
          </w:tcPr>
          <w:p w:rsidR="002339DA" w:rsidRPr="00DA7B83" w:rsidRDefault="002339DA" w:rsidP="00317508">
            <w:pPr>
              <w:jc w:val="center"/>
              <w:rPr>
                <w:rFonts w:ascii="Verdana" w:hAnsi="Verdana"/>
                <w:color w:val="333333"/>
                <w:sz w:val="20"/>
                <w:szCs w:val="20"/>
                <w:lang w:val="cs-CZ"/>
              </w:rPr>
            </w:pPr>
            <w:r w:rsidRPr="00DA7B83">
              <w:rPr>
                <w:rFonts w:ascii="Verdana" w:hAnsi="Verdana"/>
                <w:b/>
                <w:bCs/>
                <w:color w:val="333333"/>
                <w:sz w:val="20"/>
                <w:szCs w:val="20"/>
                <w:lang w:val="cs-CZ"/>
              </w:rPr>
              <w:t>Minimální přirážka jako % základního předpokladu</w:t>
            </w:r>
          </w:p>
        </w:tc>
      </w:tr>
      <w:tr w:rsidR="002339DA" w:rsidRPr="00DA7B83">
        <w:trPr>
          <w:tblCellSpacing w:w="15" w:type="dxa"/>
          <w:jc w:val="center"/>
        </w:trPr>
        <w:tc>
          <w:tcPr>
            <w:tcW w:w="4500" w:type="dxa"/>
            <w:tcBorders>
              <w:top w:val="outset" w:sz="6" w:space="0" w:color="auto"/>
              <w:bottom w:val="outset" w:sz="6" w:space="0" w:color="auto"/>
              <w:right w:val="outset" w:sz="6" w:space="0" w:color="auto"/>
            </w:tcBorders>
            <w:vAlign w:val="center"/>
          </w:tcPr>
          <w:p w:rsidR="002339DA" w:rsidRPr="00DA7B83" w:rsidRDefault="002339DA" w:rsidP="00317508">
            <w:pPr>
              <w:rPr>
                <w:rFonts w:ascii="Verdana" w:hAnsi="Verdana"/>
                <w:color w:val="333333"/>
                <w:sz w:val="20"/>
                <w:szCs w:val="20"/>
                <w:lang w:val="cs-CZ"/>
              </w:rPr>
            </w:pPr>
            <w:r w:rsidRPr="00DA7B83">
              <w:rPr>
                <w:rFonts w:ascii="Verdana" w:hAnsi="Verdana"/>
                <w:color w:val="333333"/>
                <w:sz w:val="20"/>
                <w:szCs w:val="20"/>
                <w:lang w:val="cs-CZ"/>
              </w:rPr>
              <w:t>Úmrtnost</w:t>
            </w:r>
          </w:p>
        </w:tc>
        <w:tc>
          <w:tcPr>
            <w:tcW w:w="2250" w:type="dxa"/>
            <w:tcBorders>
              <w:top w:val="outset" w:sz="6" w:space="0" w:color="auto"/>
              <w:left w:val="outset" w:sz="6" w:space="0" w:color="auto"/>
              <w:bottom w:val="outset" w:sz="6" w:space="0" w:color="auto"/>
            </w:tcBorders>
            <w:vAlign w:val="center"/>
          </w:tcPr>
          <w:p w:rsidR="002339DA" w:rsidRPr="00DA7B83" w:rsidRDefault="002339DA" w:rsidP="00317508">
            <w:pPr>
              <w:jc w:val="center"/>
              <w:rPr>
                <w:rFonts w:ascii="Verdana" w:hAnsi="Verdana"/>
                <w:color w:val="333333"/>
                <w:sz w:val="20"/>
                <w:szCs w:val="20"/>
                <w:lang w:val="cs-CZ"/>
              </w:rPr>
            </w:pPr>
            <w:r w:rsidRPr="00DA7B83">
              <w:rPr>
                <w:rFonts w:ascii="Verdana" w:hAnsi="Verdana"/>
                <w:color w:val="333333"/>
                <w:sz w:val="20"/>
                <w:szCs w:val="20"/>
                <w:lang w:val="cs-CZ"/>
              </w:rPr>
              <w:t>10 %</w:t>
            </w:r>
          </w:p>
        </w:tc>
      </w:tr>
      <w:tr w:rsidR="002339DA" w:rsidRPr="00DA7B83">
        <w:trPr>
          <w:tblCellSpacing w:w="15" w:type="dxa"/>
          <w:jc w:val="center"/>
        </w:trPr>
        <w:tc>
          <w:tcPr>
            <w:tcW w:w="4500" w:type="dxa"/>
            <w:tcBorders>
              <w:top w:val="outset" w:sz="6" w:space="0" w:color="auto"/>
              <w:bottom w:val="outset" w:sz="6" w:space="0" w:color="auto"/>
              <w:right w:val="outset" w:sz="6" w:space="0" w:color="auto"/>
            </w:tcBorders>
            <w:vAlign w:val="center"/>
          </w:tcPr>
          <w:p w:rsidR="002339DA" w:rsidRPr="00DA7B83" w:rsidRDefault="002339DA" w:rsidP="00317508">
            <w:pPr>
              <w:rPr>
                <w:rFonts w:ascii="Verdana" w:hAnsi="Verdana"/>
                <w:color w:val="333333"/>
                <w:sz w:val="20"/>
                <w:szCs w:val="20"/>
                <w:lang w:val="cs-CZ"/>
              </w:rPr>
            </w:pPr>
            <w:proofErr w:type="spellStart"/>
            <w:r w:rsidRPr="00DA7B83">
              <w:rPr>
                <w:rFonts w:ascii="Verdana" w:hAnsi="Verdana"/>
                <w:color w:val="333333"/>
                <w:sz w:val="20"/>
                <w:szCs w:val="20"/>
                <w:lang w:val="cs-CZ"/>
              </w:rPr>
              <w:t>Invalidizace</w:t>
            </w:r>
            <w:proofErr w:type="spellEnd"/>
            <w:r w:rsidRPr="00DA7B83">
              <w:rPr>
                <w:rFonts w:ascii="Verdana" w:hAnsi="Verdana"/>
                <w:color w:val="333333"/>
                <w:sz w:val="20"/>
                <w:szCs w:val="20"/>
                <w:lang w:val="cs-CZ"/>
              </w:rPr>
              <w:t>, nemocnost</w:t>
            </w:r>
          </w:p>
        </w:tc>
        <w:tc>
          <w:tcPr>
            <w:tcW w:w="2250" w:type="dxa"/>
            <w:tcBorders>
              <w:top w:val="outset" w:sz="6" w:space="0" w:color="auto"/>
              <w:left w:val="outset" w:sz="6" w:space="0" w:color="auto"/>
              <w:bottom w:val="outset" w:sz="6" w:space="0" w:color="auto"/>
            </w:tcBorders>
            <w:vAlign w:val="center"/>
          </w:tcPr>
          <w:p w:rsidR="002339DA" w:rsidRPr="00DA7B83" w:rsidRDefault="002339DA" w:rsidP="00317508">
            <w:pPr>
              <w:jc w:val="center"/>
              <w:rPr>
                <w:rFonts w:ascii="Verdana" w:hAnsi="Verdana"/>
                <w:color w:val="333333"/>
                <w:sz w:val="20"/>
                <w:szCs w:val="20"/>
                <w:lang w:val="cs-CZ"/>
              </w:rPr>
            </w:pPr>
            <w:r w:rsidRPr="00DA7B83">
              <w:rPr>
                <w:rFonts w:ascii="Verdana" w:hAnsi="Verdana"/>
                <w:color w:val="333333"/>
                <w:sz w:val="20"/>
                <w:szCs w:val="20"/>
                <w:lang w:val="cs-CZ"/>
              </w:rPr>
              <w:t>10 %</w:t>
            </w:r>
          </w:p>
        </w:tc>
      </w:tr>
      <w:tr w:rsidR="002339DA" w:rsidRPr="00DA7B83">
        <w:trPr>
          <w:tblCellSpacing w:w="15" w:type="dxa"/>
          <w:jc w:val="center"/>
        </w:trPr>
        <w:tc>
          <w:tcPr>
            <w:tcW w:w="4500" w:type="dxa"/>
            <w:tcBorders>
              <w:top w:val="outset" w:sz="6" w:space="0" w:color="auto"/>
              <w:bottom w:val="outset" w:sz="6" w:space="0" w:color="auto"/>
              <w:right w:val="outset" w:sz="6" w:space="0" w:color="auto"/>
            </w:tcBorders>
            <w:vAlign w:val="center"/>
          </w:tcPr>
          <w:p w:rsidR="002339DA" w:rsidRPr="00DA7B83" w:rsidRDefault="002339DA" w:rsidP="00317508">
            <w:pPr>
              <w:rPr>
                <w:rFonts w:ascii="Verdana" w:hAnsi="Verdana"/>
                <w:color w:val="333333"/>
                <w:sz w:val="20"/>
                <w:szCs w:val="20"/>
                <w:lang w:val="cs-CZ"/>
              </w:rPr>
            </w:pPr>
            <w:r w:rsidRPr="00DA7B83">
              <w:rPr>
                <w:rFonts w:ascii="Verdana" w:hAnsi="Verdana"/>
                <w:color w:val="333333"/>
                <w:sz w:val="20"/>
                <w:szCs w:val="20"/>
                <w:lang w:val="cs-CZ"/>
              </w:rPr>
              <w:t>Rušení pojistných smluv bez výplaty odbytného</w:t>
            </w:r>
          </w:p>
        </w:tc>
        <w:tc>
          <w:tcPr>
            <w:tcW w:w="2250" w:type="dxa"/>
            <w:tcBorders>
              <w:top w:val="outset" w:sz="6" w:space="0" w:color="auto"/>
              <w:left w:val="outset" w:sz="6" w:space="0" w:color="auto"/>
              <w:bottom w:val="outset" w:sz="6" w:space="0" w:color="auto"/>
            </w:tcBorders>
            <w:vAlign w:val="center"/>
          </w:tcPr>
          <w:p w:rsidR="002339DA" w:rsidRPr="00DA7B83" w:rsidRDefault="002339DA" w:rsidP="00317508">
            <w:pPr>
              <w:jc w:val="center"/>
              <w:rPr>
                <w:rFonts w:ascii="Verdana" w:hAnsi="Verdana"/>
                <w:color w:val="333333"/>
                <w:sz w:val="20"/>
                <w:szCs w:val="20"/>
                <w:lang w:val="cs-CZ"/>
              </w:rPr>
            </w:pPr>
            <w:r w:rsidRPr="00DA7B83">
              <w:rPr>
                <w:rFonts w:ascii="Verdana" w:hAnsi="Verdana"/>
                <w:color w:val="333333"/>
                <w:sz w:val="20"/>
                <w:szCs w:val="20"/>
                <w:lang w:val="cs-CZ"/>
              </w:rPr>
              <w:t>25 %</w:t>
            </w:r>
          </w:p>
        </w:tc>
      </w:tr>
      <w:tr w:rsidR="002339DA" w:rsidRPr="00DA7B83">
        <w:trPr>
          <w:tblCellSpacing w:w="15" w:type="dxa"/>
          <w:jc w:val="center"/>
        </w:trPr>
        <w:tc>
          <w:tcPr>
            <w:tcW w:w="4500" w:type="dxa"/>
            <w:tcBorders>
              <w:top w:val="outset" w:sz="6" w:space="0" w:color="auto"/>
              <w:bottom w:val="outset" w:sz="6" w:space="0" w:color="auto"/>
              <w:right w:val="outset" w:sz="6" w:space="0" w:color="auto"/>
            </w:tcBorders>
            <w:vAlign w:val="center"/>
          </w:tcPr>
          <w:p w:rsidR="002339DA" w:rsidRPr="00DA7B83" w:rsidRDefault="002339DA" w:rsidP="00317508">
            <w:pPr>
              <w:rPr>
                <w:rFonts w:ascii="Verdana" w:hAnsi="Verdana"/>
                <w:color w:val="333333"/>
                <w:sz w:val="20"/>
                <w:szCs w:val="20"/>
                <w:lang w:val="cs-CZ"/>
              </w:rPr>
            </w:pPr>
            <w:r w:rsidRPr="00DA7B83">
              <w:rPr>
                <w:rFonts w:ascii="Verdana" w:hAnsi="Verdana"/>
                <w:color w:val="333333"/>
                <w:sz w:val="20"/>
                <w:szCs w:val="20"/>
                <w:lang w:val="cs-CZ"/>
              </w:rPr>
              <w:t>Rušení pojistných smluv s výplatou odbytného</w:t>
            </w:r>
          </w:p>
        </w:tc>
        <w:tc>
          <w:tcPr>
            <w:tcW w:w="2250" w:type="dxa"/>
            <w:tcBorders>
              <w:top w:val="outset" w:sz="6" w:space="0" w:color="auto"/>
              <w:left w:val="outset" w:sz="6" w:space="0" w:color="auto"/>
              <w:bottom w:val="outset" w:sz="6" w:space="0" w:color="auto"/>
            </w:tcBorders>
            <w:vAlign w:val="center"/>
          </w:tcPr>
          <w:p w:rsidR="002339DA" w:rsidRPr="00DA7B83" w:rsidRDefault="002339DA" w:rsidP="00317508">
            <w:pPr>
              <w:jc w:val="center"/>
              <w:rPr>
                <w:rFonts w:ascii="Verdana" w:hAnsi="Verdana"/>
                <w:color w:val="333333"/>
                <w:sz w:val="20"/>
                <w:szCs w:val="20"/>
                <w:lang w:val="cs-CZ"/>
              </w:rPr>
            </w:pPr>
            <w:r w:rsidRPr="00DA7B83">
              <w:rPr>
                <w:rFonts w:ascii="Verdana" w:hAnsi="Verdana"/>
                <w:color w:val="333333"/>
                <w:sz w:val="20"/>
                <w:szCs w:val="20"/>
                <w:lang w:val="cs-CZ"/>
              </w:rPr>
              <w:t>10 %</w:t>
            </w:r>
          </w:p>
        </w:tc>
      </w:tr>
      <w:tr w:rsidR="002339DA" w:rsidRPr="00DA7B83">
        <w:trPr>
          <w:tblCellSpacing w:w="15" w:type="dxa"/>
          <w:jc w:val="center"/>
        </w:trPr>
        <w:tc>
          <w:tcPr>
            <w:tcW w:w="4500" w:type="dxa"/>
            <w:tcBorders>
              <w:top w:val="outset" w:sz="6" w:space="0" w:color="auto"/>
              <w:bottom w:val="outset" w:sz="6" w:space="0" w:color="auto"/>
              <w:right w:val="outset" w:sz="6" w:space="0" w:color="auto"/>
            </w:tcBorders>
            <w:vAlign w:val="center"/>
          </w:tcPr>
          <w:p w:rsidR="002339DA" w:rsidRPr="00DA7B83" w:rsidRDefault="002339DA" w:rsidP="00317508">
            <w:pPr>
              <w:rPr>
                <w:rFonts w:ascii="Verdana" w:hAnsi="Verdana"/>
                <w:color w:val="333333"/>
                <w:sz w:val="20"/>
                <w:szCs w:val="20"/>
                <w:lang w:val="cs-CZ"/>
              </w:rPr>
            </w:pPr>
            <w:r w:rsidRPr="00DA7B83">
              <w:rPr>
                <w:rFonts w:ascii="Verdana" w:hAnsi="Verdana"/>
                <w:color w:val="333333"/>
                <w:sz w:val="20"/>
                <w:szCs w:val="20"/>
                <w:lang w:val="cs-CZ"/>
              </w:rPr>
              <w:t>Náklady</w:t>
            </w:r>
          </w:p>
        </w:tc>
        <w:tc>
          <w:tcPr>
            <w:tcW w:w="2250" w:type="dxa"/>
            <w:tcBorders>
              <w:top w:val="outset" w:sz="6" w:space="0" w:color="auto"/>
              <w:left w:val="outset" w:sz="6" w:space="0" w:color="auto"/>
              <w:bottom w:val="outset" w:sz="6" w:space="0" w:color="auto"/>
            </w:tcBorders>
            <w:vAlign w:val="center"/>
          </w:tcPr>
          <w:p w:rsidR="002339DA" w:rsidRPr="00DA7B83" w:rsidRDefault="002339DA" w:rsidP="00317508">
            <w:pPr>
              <w:jc w:val="center"/>
              <w:rPr>
                <w:rFonts w:ascii="Verdana" w:hAnsi="Verdana"/>
                <w:color w:val="333333"/>
                <w:sz w:val="20"/>
                <w:szCs w:val="20"/>
                <w:lang w:val="cs-CZ"/>
              </w:rPr>
            </w:pPr>
            <w:r w:rsidRPr="00DA7B83">
              <w:rPr>
                <w:rFonts w:ascii="Verdana" w:hAnsi="Verdana"/>
                <w:color w:val="333333"/>
                <w:sz w:val="20"/>
                <w:szCs w:val="20"/>
                <w:lang w:val="cs-CZ"/>
              </w:rPr>
              <w:t>10 %</w:t>
            </w:r>
          </w:p>
        </w:tc>
      </w:tr>
      <w:tr w:rsidR="002339DA" w:rsidRPr="00DA7B83">
        <w:trPr>
          <w:tblCellSpacing w:w="15" w:type="dxa"/>
          <w:jc w:val="center"/>
        </w:trPr>
        <w:tc>
          <w:tcPr>
            <w:tcW w:w="4500" w:type="dxa"/>
            <w:tcBorders>
              <w:top w:val="outset" w:sz="6" w:space="0" w:color="auto"/>
              <w:bottom w:val="outset" w:sz="6" w:space="0" w:color="auto"/>
              <w:right w:val="outset" w:sz="6" w:space="0" w:color="auto"/>
            </w:tcBorders>
            <w:vAlign w:val="center"/>
          </w:tcPr>
          <w:p w:rsidR="002339DA" w:rsidRPr="00DA7B83" w:rsidRDefault="002339DA" w:rsidP="00317508">
            <w:pPr>
              <w:rPr>
                <w:rFonts w:ascii="Verdana" w:hAnsi="Verdana"/>
                <w:color w:val="333333"/>
                <w:sz w:val="20"/>
                <w:szCs w:val="20"/>
                <w:lang w:val="cs-CZ"/>
              </w:rPr>
            </w:pPr>
            <w:r w:rsidRPr="00DA7B83">
              <w:rPr>
                <w:rFonts w:ascii="Verdana" w:hAnsi="Verdana"/>
                <w:color w:val="333333"/>
                <w:sz w:val="20"/>
                <w:szCs w:val="20"/>
                <w:lang w:val="cs-CZ"/>
              </w:rPr>
              <w:t>Nákladová inflace</w:t>
            </w:r>
          </w:p>
        </w:tc>
        <w:tc>
          <w:tcPr>
            <w:tcW w:w="2250" w:type="dxa"/>
            <w:tcBorders>
              <w:top w:val="outset" w:sz="6" w:space="0" w:color="auto"/>
              <w:left w:val="outset" w:sz="6" w:space="0" w:color="auto"/>
              <w:bottom w:val="outset" w:sz="6" w:space="0" w:color="auto"/>
            </w:tcBorders>
            <w:vAlign w:val="center"/>
          </w:tcPr>
          <w:p w:rsidR="002339DA" w:rsidRPr="00DA7B83" w:rsidRDefault="002339DA" w:rsidP="00317508">
            <w:pPr>
              <w:jc w:val="center"/>
              <w:rPr>
                <w:rFonts w:ascii="Verdana" w:hAnsi="Verdana"/>
                <w:color w:val="333333"/>
                <w:sz w:val="20"/>
                <w:szCs w:val="20"/>
                <w:lang w:val="cs-CZ"/>
              </w:rPr>
            </w:pPr>
            <w:r w:rsidRPr="00DA7B83">
              <w:rPr>
                <w:rFonts w:ascii="Verdana" w:hAnsi="Verdana"/>
                <w:color w:val="333333"/>
                <w:sz w:val="20"/>
                <w:szCs w:val="20"/>
                <w:lang w:val="cs-CZ"/>
              </w:rPr>
              <w:t>10 %</w:t>
            </w:r>
          </w:p>
        </w:tc>
      </w:tr>
      <w:tr w:rsidR="002339DA" w:rsidRPr="00DA7B83">
        <w:trPr>
          <w:tblCellSpacing w:w="15" w:type="dxa"/>
          <w:jc w:val="center"/>
        </w:trPr>
        <w:tc>
          <w:tcPr>
            <w:tcW w:w="4500" w:type="dxa"/>
            <w:tcBorders>
              <w:top w:val="outset" w:sz="6" w:space="0" w:color="auto"/>
              <w:bottom w:val="outset" w:sz="6" w:space="0" w:color="auto"/>
              <w:right w:val="outset" w:sz="6" w:space="0" w:color="auto"/>
            </w:tcBorders>
            <w:vAlign w:val="center"/>
          </w:tcPr>
          <w:p w:rsidR="002339DA" w:rsidRPr="00DA7B83" w:rsidRDefault="002339DA" w:rsidP="00317508">
            <w:pPr>
              <w:rPr>
                <w:rFonts w:ascii="Verdana" w:hAnsi="Verdana"/>
                <w:color w:val="333333"/>
                <w:sz w:val="20"/>
                <w:szCs w:val="20"/>
                <w:lang w:val="cs-CZ"/>
              </w:rPr>
            </w:pPr>
            <w:r w:rsidRPr="00DA7B83">
              <w:rPr>
                <w:rFonts w:ascii="Verdana" w:hAnsi="Verdana"/>
                <w:color w:val="333333"/>
                <w:sz w:val="20"/>
                <w:szCs w:val="20"/>
                <w:lang w:val="cs-CZ"/>
              </w:rPr>
              <w:t>Úrokový výnos (použije se pro diskontování peněžních toků a pro projekci budoucích plnění, především podílů na zisku)</w:t>
            </w:r>
          </w:p>
        </w:tc>
        <w:tc>
          <w:tcPr>
            <w:tcW w:w="2250" w:type="dxa"/>
            <w:tcBorders>
              <w:top w:val="outset" w:sz="6" w:space="0" w:color="auto"/>
              <w:left w:val="outset" w:sz="6" w:space="0" w:color="auto"/>
              <w:bottom w:val="outset" w:sz="6" w:space="0" w:color="auto"/>
            </w:tcBorders>
            <w:vAlign w:val="center"/>
          </w:tcPr>
          <w:p w:rsidR="002339DA" w:rsidRPr="00DA7B83" w:rsidRDefault="001D2459" w:rsidP="00317508">
            <w:pPr>
              <w:jc w:val="center"/>
              <w:rPr>
                <w:rFonts w:ascii="Verdana" w:hAnsi="Verdana"/>
                <w:color w:val="333333"/>
                <w:sz w:val="20"/>
                <w:szCs w:val="20"/>
                <w:lang w:val="cs-CZ"/>
              </w:rPr>
            </w:pPr>
            <w:r w:rsidRPr="001D4B2E">
              <w:rPr>
                <w:rFonts w:ascii="Verdana" w:hAnsi="Verdana"/>
                <w:color w:val="333333"/>
                <w:sz w:val="20"/>
                <w:szCs w:val="20"/>
                <w:lang w:val="cs-CZ"/>
              </w:rPr>
              <w:t>Nejistota ve výnosu je zachycena v časové hodnotě opcí a garancí</w:t>
            </w:r>
          </w:p>
        </w:tc>
      </w:tr>
    </w:tbl>
    <w:p w:rsidR="002339DA" w:rsidRPr="00DA7B83" w:rsidRDefault="002339DA" w:rsidP="00DA7B83">
      <w:pPr>
        <w:spacing w:before="100" w:beforeAutospacing="1" w:after="100" w:afterAutospacing="1"/>
        <w:rPr>
          <w:rFonts w:ascii="Verdana" w:hAnsi="Verdana"/>
          <w:sz w:val="20"/>
          <w:szCs w:val="20"/>
          <w:lang w:val="cs-CZ"/>
        </w:rPr>
      </w:pPr>
      <w:r w:rsidRPr="00DA7B83">
        <w:rPr>
          <w:rFonts w:ascii="Verdana" w:hAnsi="Verdana"/>
          <w:color w:val="333333"/>
          <w:sz w:val="20"/>
          <w:szCs w:val="20"/>
          <w:lang w:val="cs-CZ"/>
        </w:rPr>
        <w:t>3.1</w:t>
      </w:r>
      <w:r w:rsidR="009861D6">
        <w:rPr>
          <w:rFonts w:ascii="Verdana" w:hAnsi="Verdana"/>
          <w:color w:val="333333"/>
          <w:sz w:val="20"/>
          <w:szCs w:val="20"/>
          <w:lang w:val="cs-CZ"/>
        </w:rPr>
        <w:t>6</w:t>
      </w:r>
      <w:r w:rsidRPr="00DA7B83">
        <w:rPr>
          <w:rFonts w:ascii="Verdana" w:hAnsi="Verdana"/>
          <w:color w:val="333333"/>
          <w:sz w:val="20"/>
          <w:szCs w:val="20"/>
          <w:lang w:val="cs-CZ"/>
        </w:rPr>
        <w:t xml:space="preserve">. </w:t>
      </w:r>
      <w:r w:rsidR="00933649" w:rsidRPr="001D4B2E">
        <w:rPr>
          <w:rFonts w:ascii="Verdana" w:hAnsi="Verdana"/>
          <w:color w:val="333333"/>
          <w:sz w:val="20"/>
          <w:szCs w:val="20"/>
          <w:lang w:val="cs-CZ"/>
        </w:rPr>
        <w:t>P</w:t>
      </w:r>
      <w:r w:rsidR="00E0565B" w:rsidRPr="00DA7B83">
        <w:rPr>
          <w:rFonts w:ascii="Verdana" w:hAnsi="Verdana"/>
          <w:color w:val="333333"/>
          <w:sz w:val="20"/>
          <w:szCs w:val="20"/>
          <w:lang w:val="cs-CZ"/>
        </w:rPr>
        <w:t>ojistný matematik řádně z</w:t>
      </w:r>
      <w:r w:rsidR="007F05BD">
        <w:rPr>
          <w:rFonts w:ascii="Verdana" w:hAnsi="Verdana"/>
          <w:color w:val="333333"/>
          <w:sz w:val="20"/>
          <w:szCs w:val="20"/>
          <w:lang w:val="cs-CZ"/>
        </w:rPr>
        <w:t>d</w:t>
      </w:r>
      <w:r w:rsidR="00E0565B" w:rsidRPr="00DA7B83">
        <w:rPr>
          <w:rFonts w:ascii="Verdana" w:hAnsi="Verdana"/>
          <w:color w:val="333333"/>
          <w:sz w:val="20"/>
          <w:szCs w:val="20"/>
          <w:lang w:val="cs-CZ"/>
        </w:rPr>
        <w:t xml:space="preserve">ůvodní a zdokumentuje změny v prováděném testu, zejména: </w:t>
      </w:r>
      <w:r w:rsidR="00E0565B" w:rsidRPr="001D4B2E">
        <w:rPr>
          <w:rFonts w:ascii="Verdana" w:hAnsi="Verdana"/>
          <w:color w:val="333333"/>
          <w:sz w:val="20"/>
          <w:szCs w:val="20"/>
          <w:lang w:val="cs-CZ"/>
        </w:rPr>
        <w:t>z</w:t>
      </w:r>
      <w:r w:rsidR="00E0565B" w:rsidRPr="00DA7B83">
        <w:rPr>
          <w:rFonts w:ascii="Verdana" w:hAnsi="Verdana"/>
          <w:color w:val="333333"/>
          <w:sz w:val="20"/>
          <w:szCs w:val="20"/>
          <w:lang w:val="cs-CZ"/>
        </w:rPr>
        <w:t>měn</w:t>
      </w:r>
      <w:r w:rsidR="008D60AC">
        <w:rPr>
          <w:rFonts w:ascii="Verdana" w:hAnsi="Verdana"/>
          <w:color w:val="333333"/>
          <w:sz w:val="20"/>
          <w:szCs w:val="20"/>
          <w:lang w:val="cs-CZ"/>
        </w:rPr>
        <w:t>u případného</w:t>
      </w:r>
      <w:r w:rsidR="00E0565B" w:rsidRPr="00DA7B83">
        <w:rPr>
          <w:rFonts w:ascii="Verdana" w:hAnsi="Verdana"/>
          <w:color w:val="333333"/>
          <w:sz w:val="20"/>
          <w:szCs w:val="20"/>
          <w:lang w:val="cs-CZ"/>
        </w:rPr>
        <w:t xml:space="preserve"> </w:t>
      </w:r>
      <w:r w:rsidRPr="00DA7B83">
        <w:rPr>
          <w:rFonts w:ascii="Verdana" w:hAnsi="Verdana"/>
          <w:color w:val="333333"/>
          <w:sz w:val="20"/>
          <w:szCs w:val="20"/>
          <w:lang w:val="cs-CZ"/>
        </w:rPr>
        <w:t>rozdělení pojistného kmene do skupin, významn</w:t>
      </w:r>
      <w:r w:rsidR="008D60AC">
        <w:rPr>
          <w:rFonts w:ascii="Verdana" w:hAnsi="Verdana"/>
          <w:color w:val="333333"/>
          <w:sz w:val="20"/>
          <w:szCs w:val="20"/>
          <w:lang w:val="cs-CZ"/>
        </w:rPr>
        <w:t>ou</w:t>
      </w:r>
      <w:r w:rsidRPr="00DA7B83">
        <w:rPr>
          <w:rFonts w:ascii="Verdana" w:hAnsi="Verdana"/>
          <w:color w:val="333333"/>
          <w:sz w:val="20"/>
          <w:szCs w:val="20"/>
          <w:lang w:val="cs-CZ"/>
        </w:rPr>
        <w:t xml:space="preserve"> změn</w:t>
      </w:r>
      <w:r w:rsidR="008D60AC">
        <w:rPr>
          <w:rFonts w:ascii="Verdana" w:hAnsi="Verdana"/>
          <w:color w:val="333333"/>
          <w:sz w:val="20"/>
          <w:szCs w:val="20"/>
          <w:lang w:val="cs-CZ"/>
        </w:rPr>
        <w:t>u</w:t>
      </w:r>
      <w:r w:rsidRPr="00DA7B83">
        <w:rPr>
          <w:rFonts w:ascii="Verdana" w:hAnsi="Verdana"/>
          <w:color w:val="333333"/>
          <w:sz w:val="20"/>
          <w:szCs w:val="20"/>
          <w:lang w:val="cs-CZ"/>
        </w:rPr>
        <w:t xml:space="preserve"> modelu</w:t>
      </w:r>
      <w:r w:rsidR="00E0565B" w:rsidRPr="001D4B2E">
        <w:rPr>
          <w:rFonts w:ascii="Verdana" w:hAnsi="Verdana"/>
          <w:color w:val="333333"/>
          <w:sz w:val="20"/>
          <w:szCs w:val="20"/>
          <w:lang w:val="cs-CZ"/>
        </w:rPr>
        <w:t>,</w:t>
      </w:r>
      <w:r w:rsidRPr="00DA7B83">
        <w:rPr>
          <w:rFonts w:ascii="Verdana" w:hAnsi="Verdana"/>
          <w:color w:val="333333"/>
          <w:sz w:val="20"/>
          <w:szCs w:val="20"/>
          <w:lang w:val="cs-CZ"/>
        </w:rPr>
        <w:t xml:space="preserve"> změn</w:t>
      </w:r>
      <w:r w:rsidR="008D60AC">
        <w:rPr>
          <w:rFonts w:ascii="Verdana" w:hAnsi="Verdana"/>
          <w:color w:val="333333"/>
          <w:sz w:val="20"/>
          <w:szCs w:val="20"/>
          <w:lang w:val="cs-CZ"/>
        </w:rPr>
        <w:t>u</w:t>
      </w:r>
      <w:r w:rsidRPr="00DA7B83">
        <w:rPr>
          <w:rFonts w:ascii="Verdana" w:hAnsi="Verdana"/>
          <w:color w:val="333333"/>
          <w:sz w:val="20"/>
          <w:szCs w:val="20"/>
          <w:lang w:val="cs-CZ"/>
        </w:rPr>
        <w:t xml:space="preserve"> přístupu ke stanovení vstupních předpokladů </w:t>
      </w:r>
      <w:r w:rsidR="00E0565B" w:rsidRPr="001D4B2E">
        <w:rPr>
          <w:rFonts w:ascii="Verdana" w:hAnsi="Verdana"/>
          <w:color w:val="333333"/>
          <w:sz w:val="20"/>
          <w:szCs w:val="20"/>
          <w:lang w:val="cs-CZ"/>
        </w:rPr>
        <w:t>či změn</w:t>
      </w:r>
      <w:r w:rsidR="008D60AC">
        <w:rPr>
          <w:rFonts w:ascii="Verdana" w:hAnsi="Verdana"/>
          <w:color w:val="333333"/>
          <w:sz w:val="20"/>
          <w:szCs w:val="20"/>
          <w:lang w:val="cs-CZ"/>
        </w:rPr>
        <w:t>u</w:t>
      </w:r>
      <w:r w:rsidR="00E0565B" w:rsidRPr="001D4B2E">
        <w:rPr>
          <w:rFonts w:ascii="Verdana" w:hAnsi="Verdana"/>
          <w:color w:val="333333"/>
          <w:sz w:val="20"/>
          <w:szCs w:val="20"/>
          <w:lang w:val="cs-CZ"/>
        </w:rPr>
        <w:t xml:space="preserve"> postupu stanovení a výše použitých přirážek na nepříznivý vývoj</w:t>
      </w:r>
      <w:r w:rsidRPr="00DA7B83">
        <w:rPr>
          <w:rFonts w:ascii="Verdana" w:hAnsi="Verdana"/>
          <w:color w:val="333333"/>
          <w:sz w:val="20"/>
          <w:szCs w:val="20"/>
          <w:lang w:val="cs-CZ"/>
        </w:rPr>
        <w:t>.</w:t>
      </w:r>
    </w:p>
    <w:sectPr w:rsidR="002339DA" w:rsidRPr="00DA7B83" w:rsidSect="00B12C89">
      <w:headerReference w:type="default" r:id="rId8"/>
      <w:footerReference w:type="default" r:id="rId9"/>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E2" w:rsidRDefault="00F926E2">
      <w:r>
        <w:separator/>
      </w:r>
    </w:p>
    <w:p w:rsidR="00F926E2" w:rsidRDefault="00F926E2"/>
  </w:endnote>
  <w:endnote w:type="continuationSeparator" w:id="0">
    <w:p w:rsidR="00F926E2" w:rsidRDefault="00F926E2">
      <w:r>
        <w:continuationSeparator/>
      </w:r>
    </w:p>
    <w:p w:rsidR="00F926E2" w:rsidRDefault="00F92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E0" w:rsidRPr="003530AF" w:rsidRDefault="00193DE0" w:rsidP="003530AF">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E2" w:rsidRDefault="00F926E2">
      <w:r>
        <w:separator/>
      </w:r>
    </w:p>
    <w:p w:rsidR="00F926E2" w:rsidRDefault="00F926E2"/>
  </w:footnote>
  <w:footnote w:type="continuationSeparator" w:id="0">
    <w:p w:rsidR="00F926E2" w:rsidRDefault="00F926E2">
      <w:r>
        <w:continuationSeparator/>
      </w:r>
    </w:p>
    <w:p w:rsidR="00F926E2" w:rsidRDefault="00F926E2"/>
  </w:footnote>
  <w:footnote w:id="1">
    <w:p w:rsidR="00193DE0" w:rsidRDefault="00193DE0">
      <w:pPr>
        <w:pStyle w:val="FootnoteText"/>
      </w:pPr>
      <w:r>
        <w:rPr>
          <w:rStyle w:val="FootnoteReference"/>
        </w:rPr>
        <w:footnoteRef/>
      </w:r>
      <w:r>
        <w:t xml:space="preserve"> </w:t>
      </w:r>
      <w:r>
        <w:rPr>
          <w:lang w:val="cs-CZ"/>
        </w:rPr>
        <w:t>Pojišťovnou je míněna nejen pojišťovna, ale i zajišťovna.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E0" w:rsidRPr="00624DC2" w:rsidRDefault="00193DE0">
    <w:pPr>
      <w:pStyle w:val="Header"/>
      <w:tabs>
        <w:tab w:val="left" w:pos="70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B008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8A0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385D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10831F9F"/>
    <w:multiLevelType w:val="multilevel"/>
    <w:tmpl w:val="765C436A"/>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3%2%1"/>
      <w:lvlJc w:val="left"/>
      <w:pPr>
        <w:ind w:left="1080" w:hanging="360"/>
      </w:pPr>
      <w:rPr>
        <w:rFonts w:ascii="Arial" w:hAnsi="Arial" w:cs="Times New Roman" w:hint="default"/>
        <w:b w:val="0"/>
        <w:i w:val="0"/>
        <w:sz w:val="19"/>
      </w:rPr>
    </w:lvl>
    <w:lvl w:ilvl="3">
      <w:start w:val="1"/>
      <w:numFmt w:val="decimal"/>
      <w:lvlText w:val="%4%1%2%3"/>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A1679B5"/>
    <w:multiLevelType w:val="hybridMultilevel"/>
    <w:tmpl w:val="B99E909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9E6572"/>
    <w:multiLevelType w:val="multilevel"/>
    <w:tmpl w:val="7B98DF9E"/>
    <w:lvl w:ilvl="0">
      <w:start w:val="1"/>
      <w:numFmt w:val="decimal"/>
      <w:lvlText w:val="%1"/>
      <w:lvlJc w:val="left"/>
      <w:pPr>
        <w:ind w:left="360" w:hanging="360"/>
      </w:pPr>
      <w:rPr>
        <w:rFonts w:ascii="Arial" w:hAnsi="Arial" w:cs="Times New Roman" w:hint="default"/>
        <w:b/>
        <w:i w:val="0"/>
        <w:sz w:val="19"/>
      </w:rPr>
    </w:lvl>
    <w:lvl w:ilvl="1">
      <w:start w:val="1"/>
      <w:numFmt w:val="decimal"/>
      <w:lvlText w:val="%1.%2"/>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220423EF"/>
    <w:multiLevelType w:val="multilevel"/>
    <w:tmpl w:val="4DD672E4"/>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4.%1.%2.%3"/>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21412AD"/>
    <w:multiLevelType w:val="hybridMultilevel"/>
    <w:tmpl w:val="1F88F422"/>
    <w:lvl w:ilvl="0" w:tplc="91BC4E30">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3A76EC7"/>
    <w:multiLevelType w:val="hybridMultilevel"/>
    <w:tmpl w:val="664A8B9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E1C6FABA">
      <w:start w:val="1"/>
      <w:numFmt w:val="lowerRoman"/>
      <w:lvlText w:val="%3."/>
      <w:lvlJc w:val="left"/>
      <w:pPr>
        <w:tabs>
          <w:tab w:val="num" w:pos="2340"/>
        </w:tabs>
        <w:ind w:left="2340" w:hanging="720"/>
      </w:pPr>
      <w:rPr>
        <w:rFonts w:cs="Times New Roman" w:hint="default"/>
      </w:rPr>
    </w:lvl>
    <w:lvl w:ilvl="3" w:tplc="3D488090">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ED37613"/>
    <w:multiLevelType w:val="hybridMultilevel"/>
    <w:tmpl w:val="15C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7B055B"/>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0">
    <w:nsid w:val="40194BA2"/>
    <w:multiLevelType w:val="multilevel"/>
    <w:tmpl w:val="25C8C4E0"/>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decimal"/>
      <w:lvlText w:val="%2.%4.%3.%5.%1"/>
      <w:lvlJc w:val="left"/>
      <w:pPr>
        <w:ind w:left="1800" w:hanging="360"/>
      </w:pPr>
      <w:rPr>
        <w:rFonts w:ascii="Arial" w:hAnsi="Arial" w:cs="Times New Roman" w:hint="default"/>
        <w:b w:val="0"/>
        <w:i/>
        <w:sz w:val="19"/>
      </w:rPr>
    </w:lvl>
    <w:lvl w:ilvl="5">
      <w:start w:val="1"/>
      <w:numFmt w:val="decimal"/>
      <w:lvlText w:val="%2.%1.%3.%4.%5.%6"/>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406C22A0"/>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44C33C94"/>
    <w:multiLevelType w:val="hybridMultilevel"/>
    <w:tmpl w:val="B99E909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B572D9"/>
    <w:multiLevelType w:val="multilevel"/>
    <w:tmpl w:val="B2E69ACE"/>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4.%3.%2.%1"/>
      <w:lvlJc w:val="left"/>
      <w:pPr>
        <w:ind w:left="1440" w:hanging="360"/>
      </w:pPr>
      <w:rPr>
        <w:rFonts w:ascii="Arial" w:hAnsi="Arial" w:cs="Times New Roman" w:hint="default"/>
        <w:b w:val="0"/>
        <w:i w:val="0"/>
        <w:sz w:val="19"/>
      </w:rPr>
    </w:lvl>
    <w:lvl w:ilvl="4">
      <w:start w:val="1"/>
      <w:numFmt w:val="decimal"/>
      <w:lvlText w:val="%4.%3.%2.%1.%5"/>
      <w:lvlJc w:val="left"/>
      <w:pPr>
        <w:ind w:left="1800" w:hanging="360"/>
      </w:pPr>
      <w:rPr>
        <w:rFonts w:ascii="Arial" w:hAnsi="Arial" w:cs="Times New Roman" w:hint="default"/>
        <w:b w:val="0"/>
        <w:i/>
        <w:sz w:val="19"/>
      </w:rPr>
    </w:lvl>
    <w:lvl w:ilvl="5">
      <w:start w:val="1"/>
      <w:numFmt w:val="decimal"/>
      <w:lvlText w:val="%5.%4.%3.%2.%1.%6"/>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6904732"/>
    <w:multiLevelType w:val="multilevel"/>
    <w:tmpl w:val="B9268802"/>
    <w:lvl w:ilvl="0">
      <w:start w:val="1"/>
      <w:numFmt w:val="decimal"/>
      <w:lvlText w:val="%1."/>
      <w:lvlJc w:val="left"/>
      <w:pPr>
        <w:ind w:left="360" w:hanging="360"/>
      </w:pPr>
      <w:rPr>
        <w:rFonts w:ascii="Times New Roman" w:hAnsi="Times New Roman" w:cs="Times New Roman" w:hint="default"/>
        <w:b w:val="0"/>
        <w:i w:val="0"/>
        <w:color w:val="002776"/>
        <w:sz w:val="32"/>
        <w:szCs w:val="32"/>
      </w:rPr>
    </w:lvl>
    <w:lvl w:ilvl="1">
      <w:start w:val="1"/>
      <w:numFmt w:val="decimal"/>
      <w:lvlText w:val="%1.%2"/>
      <w:lvlJc w:val="left"/>
      <w:pPr>
        <w:tabs>
          <w:tab w:val="num" w:pos="3261"/>
        </w:tabs>
        <w:ind w:left="3148" w:hanging="454"/>
      </w:pPr>
      <w:rPr>
        <w:rFonts w:ascii="Times New Roman Bold" w:hAnsi="Times New Roman Bold" w:cs="Times New Roman"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cs="Times New Roman" w:hint="default"/>
        <w:b/>
        <w:i w:val="0"/>
        <w:color w:val="000066"/>
        <w:sz w:val="24"/>
        <w:szCs w:val="24"/>
      </w:rPr>
    </w:lvl>
    <w:lvl w:ilvl="3">
      <w:start w:val="1"/>
      <w:numFmt w:val="decimal"/>
      <w:lvlText w:val="%1.%2.%3.%4"/>
      <w:lvlJc w:val="left"/>
      <w:pPr>
        <w:tabs>
          <w:tab w:val="num" w:pos="744"/>
        </w:tabs>
        <w:ind w:left="744" w:hanging="864"/>
      </w:pPr>
      <w:rPr>
        <w:rFonts w:cs="Times New Roman" w:hint="default"/>
      </w:rPr>
    </w:lvl>
    <w:lvl w:ilvl="4">
      <w:start w:val="1"/>
      <w:numFmt w:val="decimal"/>
      <w:lvlText w:val="%1.%2.%3.%4.%5"/>
      <w:lvlJc w:val="left"/>
      <w:pPr>
        <w:tabs>
          <w:tab w:val="num" w:pos="888"/>
        </w:tabs>
        <w:ind w:left="888" w:hanging="1008"/>
      </w:pPr>
      <w:rPr>
        <w:rFonts w:cs="Times New Roman" w:hint="default"/>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25">
    <w:nsid w:val="46AF79E7"/>
    <w:multiLevelType w:val="multilevel"/>
    <w:tmpl w:val="6B34493C"/>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3%2%1%4"/>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4DBE2AE2"/>
    <w:multiLevelType w:val="multilevel"/>
    <w:tmpl w:val="21F2C6F6"/>
    <w:lvl w:ilvl="0">
      <w:start w:val="1"/>
      <w:numFmt w:val="decimal"/>
      <w:lvlText w:val="%1"/>
      <w:lvlJc w:val="left"/>
      <w:pPr>
        <w:ind w:left="360" w:hanging="360"/>
      </w:pPr>
      <w:rPr>
        <w:rFonts w:ascii="Arial" w:hAnsi="Arial" w:cs="Times New Roman" w:hint="default"/>
        <w:b/>
        <w:i w:val="0"/>
        <w:sz w:val="19"/>
      </w:rPr>
    </w:lvl>
    <w:lvl w:ilvl="1">
      <w:start w:val="1"/>
      <w:numFmt w:val="decimal"/>
      <w:lvlText w:val="%1.%2"/>
      <w:lvlJc w:val="left"/>
      <w:pPr>
        <w:ind w:left="720" w:hanging="360"/>
      </w:pPr>
      <w:rPr>
        <w:rFonts w:ascii="Arial" w:hAnsi="Arial" w:cs="Times New Roman" w:hint="default"/>
        <w:b w:val="0"/>
        <w:i w:val="0"/>
        <w:sz w:val="19"/>
      </w:rPr>
    </w:lvl>
    <w:lvl w:ilvl="2">
      <w:start w:val="1"/>
      <w:numFmt w:val="decimal"/>
      <w:lvlText w:val="%1.%2.%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0AC23BE"/>
    <w:multiLevelType w:val="multilevel"/>
    <w:tmpl w:val="F1B8D81C"/>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16E2CB7"/>
    <w:multiLevelType w:val="multilevel"/>
    <w:tmpl w:val="DAFEFA5A"/>
    <w:lvl w:ilvl="0">
      <w:start w:val="1"/>
      <w:numFmt w:val="decimal"/>
      <w:lvlText w:val="%1"/>
      <w:lvlJc w:val="left"/>
      <w:pPr>
        <w:ind w:left="432" w:hanging="432"/>
      </w:pPr>
      <w:rPr>
        <w:rFonts w:ascii="Times New Roman" w:hAnsi="Times New Roman" w:cs="Times New Roman" w:hint="default"/>
        <w:b w:val="0"/>
        <w:i w:val="0"/>
        <w:color w:val="002776"/>
        <w:sz w:val="60"/>
      </w:rPr>
    </w:lvl>
    <w:lvl w:ilvl="1">
      <w:start w:val="1"/>
      <w:numFmt w:val="decimal"/>
      <w:lvlText w:val="%1.%2"/>
      <w:lvlJc w:val="left"/>
      <w:pPr>
        <w:ind w:left="576" w:hanging="576"/>
      </w:pPr>
      <w:rPr>
        <w:rFonts w:ascii="Arial" w:hAnsi="Arial" w:cs="Times New Roman" w:hint="default"/>
        <w:b/>
        <w:i w:val="0"/>
        <w:color w:val="92D400"/>
        <w:sz w:val="24"/>
      </w:rPr>
    </w:lvl>
    <w:lvl w:ilvl="2">
      <w:start w:val="1"/>
      <w:numFmt w:val="decimal"/>
      <w:lvlText w:val="%1.%2.%3"/>
      <w:lvlJc w:val="left"/>
      <w:pPr>
        <w:ind w:left="720" w:hanging="720"/>
      </w:pPr>
      <w:rPr>
        <w:rFonts w:ascii="Arial" w:hAnsi="Arial" w:cs="Times New Roman" w:hint="default"/>
        <w:b/>
        <w:i w:val="0"/>
        <w:color w:val="3C8A2E"/>
        <w:sz w:val="24"/>
      </w:rPr>
    </w:lvl>
    <w:lvl w:ilvl="3">
      <w:start w:val="1"/>
      <w:numFmt w:val="decimal"/>
      <w:lvlText w:val="%1.%2.%3.%4"/>
      <w:lvlJc w:val="left"/>
      <w:pPr>
        <w:ind w:left="864" w:hanging="864"/>
      </w:pPr>
      <w:rPr>
        <w:rFonts w:ascii="Arial" w:hAnsi="Arial" w:cs="Times New Roman" w:hint="default"/>
        <w:b/>
        <w:i w:val="0"/>
        <w:color w:val="auto"/>
        <w:sz w:val="24"/>
      </w:rPr>
    </w:lvl>
    <w:lvl w:ilvl="4">
      <w:start w:val="1"/>
      <w:numFmt w:val="decimal"/>
      <w:lvlText w:val="%1.%2.%3.%4.%5"/>
      <w:lvlJc w:val="left"/>
      <w:pPr>
        <w:ind w:left="1008" w:hanging="1008"/>
      </w:pPr>
      <w:rPr>
        <w:rFonts w:ascii="Arial" w:hAnsi="Arial" w:cs="Times New Roman" w:hint="default"/>
        <w:b/>
        <w:i/>
        <w:color w:val="000000"/>
        <w:sz w:val="24"/>
      </w:rPr>
    </w:lvl>
    <w:lvl w:ilvl="5">
      <w:start w:val="1"/>
      <w:numFmt w:val="decimal"/>
      <w:lvlText w:val="%1.%2.%3.%4.%5.%6"/>
      <w:lvlJc w:val="left"/>
      <w:pPr>
        <w:ind w:left="1152" w:hanging="1152"/>
      </w:pPr>
      <w:rPr>
        <w:rFonts w:ascii="Arial" w:hAnsi="Arial" w:cs="Times New Roman" w:hint="default"/>
        <w:b w:val="0"/>
        <w:i/>
        <w:color w:val="auto"/>
        <w:sz w:val="24"/>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nsid w:val="562F0ADF"/>
    <w:multiLevelType w:val="multilevel"/>
    <w:tmpl w:val="7EECC8EA"/>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9931C44"/>
    <w:multiLevelType w:val="multilevel"/>
    <w:tmpl w:val="DB54DB1C"/>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AB92AF9"/>
    <w:multiLevelType w:val="multilevel"/>
    <w:tmpl w:val="FE56D10A"/>
    <w:lvl w:ilvl="0">
      <w:start w:val="1"/>
      <w:numFmt w:val="decimal"/>
      <w:lvlText w:val="%1."/>
      <w:lvlJc w:val="left"/>
      <w:pPr>
        <w:ind w:left="284" w:hanging="284"/>
      </w:pPr>
      <w:rPr>
        <w:rFonts w:cs="Times New Roman"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Wingdings" w:hAnsi="Wingdings" w:hint="default"/>
        <w:color w:val="auto"/>
      </w:rPr>
    </w:lvl>
    <w:lvl w:ilvl="3">
      <w:start w:val="1"/>
      <w:numFmt w:val="bullet"/>
      <w:lvlText w:val=""/>
      <w:lvlJc w:val="left"/>
      <w:pPr>
        <w:tabs>
          <w:tab w:val="num" w:pos="7842"/>
        </w:tabs>
        <w:ind w:left="1136" w:hanging="284"/>
      </w:pPr>
      <w:rPr>
        <w:rFonts w:ascii="Symbol" w:hAnsi="Symbol" w:hint="default"/>
        <w:color w:val="002776"/>
      </w:rPr>
    </w:lvl>
    <w:lvl w:ilvl="4">
      <w:start w:val="1"/>
      <w:numFmt w:val="bullet"/>
      <w:lvlText w:val="o"/>
      <w:lvlJc w:val="left"/>
      <w:pPr>
        <w:tabs>
          <w:tab w:val="num" w:pos="8409"/>
        </w:tabs>
        <w:ind w:left="1420" w:hanging="284"/>
      </w:pPr>
      <w:rPr>
        <w:rFonts w:ascii="Courier New" w:hAnsi="Courier New" w:hint="default"/>
        <w:color w:val="002776"/>
      </w:rPr>
    </w:lvl>
    <w:lvl w:ilvl="5">
      <w:start w:val="1"/>
      <w:numFmt w:val="bullet"/>
      <w:lvlText w:val=""/>
      <w:lvlJc w:val="left"/>
      <w:pPr>
        <w:tabs>
          <w:tab w:val="num" w:pos="8976"/>
        </w:tabs>
        <w:ind w:left="1704" w:hanging="284"/>
      </w:pPr>
      <w:rPr>
        <w:rFonts w:ascii="Wingdings" w:hAnsi="Wingdings" w:hint="default"/>
        <w:color w:val="002776"/>
      </w:rPr>
    </w:lvl>
    <w:lvl w:ilvl="6">
      <w:start w:val="1"/>
      <w:numFmt w:val="bullet"/>
      <w:lvlText w:val=""/>
      <w:lvlJc w:val="left"/>
      <w:pPr>
        <w:tabs>
          <w:tab w:val="num" w:pos="9543"/>
        </w:tabs>
        <w:ind w:left="1988" w:hanging="284"/>
      </w:pPr>
      <w:rPr>
        <w:rFonts w:ascii="Symbol" w:hAnsi="Symbol" w:hint="default"/>
        <w:color w:val="002776"/>
      </w:rPr>
    </w:lvl>
    <w:lvl w:ilvl="7">
      <w:start w:val="1"/>
      <w:numFmt w:val="bullet"/>
      <w:lvlText w:val="o"/>
      <w:lvlJc w:val="left"/>
      <w:pPr>
        <w:tabs>
          <w:tab w:val="num" w:pos="10110"/>
        </w:tabs>
        <w:ind w:left="2272" w:hanging="284"/>
      </w:pPr>
      <w:rPr>
        <w:rFonts w:ascii="Courier New" w:hAnsi="Courier New" w:hint="default"/>
        <w:color w:val="002776"/>
      </w:rPr>
    </w:lvl>
    <w:lvl w:ilvl="8">
      <w:start w:val="1"/>
      <w:numFmt w:val="bullet"/>
      <w:lvlText w:val=""/>
      <w:lvlJc w:val="left"/>
      <w:pPr>
        <w:tabs>
          <w:tab w:val="num" w:pos="10677"/>
        </w:tabs>
        <w:ind w:left="2556" w:hanging="284"/>
      </w:pPr>
      <w:rPr>
        <w:rFonts w:ascii="Wingdings" w:hAnsi="Wingdings" w:hint="default"/>
        <w:color w:val="002776"/>
      </w:rPr>
    </w:lvl>
  </w:abstractNum>
  <w:abstractNum w:abstractNumId="32">
    <w:nsid w:val="5F9B1B44"/>
    <w:multiLevelType w:val="multilevel"/>
    <w:tmpl w:val="C5106E7A"/>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2.%1.%3.%4"/>
      <w:lvlJc w:val="left"/>
      <w:pPr>
        <w:ind w:left="1440" w:hanging="360"/>
      </w:pPr>
      <w:rPr>
        <w:rFonts w:ascii="Arial" w:hAnsi="Arial" w:cs="Times New Roman" w:hint="default"/>
        <w:b w:val="0"/>
        <w:i w:val="0"/>
        <w:sz w:val="19"/>
      </w:rPr>
    </w:lvl>
    <w:lvl w:ilvl="4">
      <w:start w:val="1"/>
      <w:numFmt w:val="decimal"/>
      <w:lvlText w:val="%2.%4.%3.%5.%1"/>
      <w:lvlJc w:val="left"/>
      <w:pPr>
        <w:ind w:left="1800" w:hanging="360"/>
      </w:pPr>
      <w:rPr>
        <w:rFonts w:ascii="Arial" w:hAnsi="Arial" w:cs="Times New Roman" w:hint="default"/>
        <w:b w:val="0"/>
        <w:i/>
        <w:sz w:val="19"/>
      </w:rPr>
    </w:lvl>
    <w:lvl w:ilvl="5">
      <w:start w:val="1"/>
      <w:numFmt w:val="decimal"/>
      <w:lvlText w:val="%2.%1.%3.%4.%5.%6"/>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810B77"/>
    <w:multiLevelType w:val="hybridMultilevel"/>
    <w:tmpl w:val="237C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76552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70263715"/>
    <w:multiLevelType w:val="hybridMultilevel"/>
    <w:tmpl w:val="A6BCF276"/>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3F25670"/>
    <w:multiLevelType w:val="hybridMultilevel"/>
    <w:tmpl w:val="5840E7D6"/>
    <w:lvl w:ilvl="0" w:tplc="4F5616DC">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78922BA"/>
    <w:multiLevelType w:val="multilevel"/>
    <w:tmpl w:val="4AD42D34"/>
    <w:lvl w:ilvl="0">
      <w:start w:val="1"/>
      <w:numFmt w:val="decimal"/>
      <w:lvlText w:val="%1"/>
      <w:lvlJc w:val="left"/>
      <w:pPr>
        <w:ind w:left="360" w:hanging="360"/>
      </w:pPr>
      <w:rPr>
        <w:rFonts w:ascii="Arial" w:hAnsi="Arial" w:cs="Times New Roman" w:hint="default"/>
        <w:b/>
        <w:i w:val="0"/>
        <w:sz w:val="19"/>
      </w:rPr>
    </w:lvl>
    <w:lvl w:ilvl="1">
      <w:start w:val="1"/>
      <w:numFmt w:val="decimal"/>
      <w:lvlText w:val="%2.%1"/>
      <w:lvlJc w:val="left"/>
      <w:pPr>
        <w:ind w:left="720" w:hanging="360"/>
      </w:pPr>
      <w:rPr>
        <w:rFonts w:ascii="Arial" w:hAnsi="Arial" w:cs="Times New Roman" w:hint="default"/>
        <w:b w:val="0"/>
        <w:i w:val="0"/>
        <w:sz w:val="19"/>
      </w:rPr>
    </w:lvl>
    <w:lvl w:ilvl="2">
      <w:start w:val="1"/>
      <w:numFmt w:val="decimal"/>
      <w:lvlText w:val="%2%1%3"/>
      <w:lvlJc w:val="left"/>
      <w:pPr>
        <w:ind w:left="1080" w:hanging="360"/>
      </w:pPr>
      <w:rPr>
        <w:rFonts w:ascii="Arial" w:hAnsi="Arial" w:cs="Times New Roman" w:hint="default"/>
        <w:b w:val="0"/>
        <w:i w:val="0"/>
        <w:sz w:val="19"/>
      </w:rPr>
    </w:lvl>
    <w:lvl w:ilvl="3">
      <w:start w:val="1"/>
      <w:numFmt w:val="decimal"/>
      <w:lvlText w:val="%4%1%2%3"/>
      <w:lvlJc w:val="left"/>
      <w:pPr>
        <w:ind w:left="1440" w:hanging="360"/>
      </w:pPr>
      <w:rPr>
        <w:rFonts w:ascii="Arial" w:hAnsi="Arial" w:cs="Times New Roman" w:hint="default"/>
        <w:b w:val="0"/>
        <w:i w:val="0"/>
        <w:sz w:val="19"/>
      </w:rPr>
    </w:lvl>
    <w:lvl w:ilvl="4">
      <w:start w:val="1"/>
      <w:numFmt w:val="decimal"/>
      <w:lvlText w:val="%5.%1.%2.%3.%4"/>
      <w:lvlJc w:val="left"/>
      <w:pPr>
        <w:ind w:left="1800" w:hanging="360"/>
      </w:pPr>
      <w:rPr>
        <w:rFonts w:ascii="Arial" w:hAnsi="Arial" w:cs="Times New Roman" w:hint="default"/>
        <w:b w:val="0"/>
        <w:i/>
        <w:sz w:val="19"/>
      </w:rPr>
    </w:lvl>
    <w:lvl w:ilvl="5">
      <w:start w:val="1"/>
      <w:numFmt w:val="decimal"/>
      <w:lvlText w:val="%6.%1.%2.%3.%4.%5"/>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4"/>
  </w:num>
  <w:num w:numId="2">
    <w:abstractNumId w:val="9"/>
  </w:num>
  <w:num w:numId="3">
    <w:abstractNumId w:val="7"/>
  </w:num>
  <w:num w:numId="4">
    <w:abstractNumId w:val="34"/>
  </w:num>
  <w:num w:numId="5">
    <w:abstractNumId w:val="19"/>
  </w:num>
  <w:num w:numId="6">
    <w:abstractNumId w:val="21"/>
  </w:num>
  <w:num w:numId="7">
    <w:abstractNumId w:val="2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9"/>
  </w:num>
  <w:num w:numId="25">
    <w:abstractNumId w:val="25"/>
  </w:num>
  <w:num w:numId="26">
    <w:abstractNumId w:val="30"/>
  </w:num>
  <w:num w:numId="27">
    <w:abstractNumId w:val="27"/>
  </w:num>
  <w:num w:numId="28">
    <w:abstractNumId w:val="20"/>
  </w:num>
  <w:num w:numId="29">
    <w:abstractNumId w:val="32"/>
  </w:num>
  <w:num w:numId="30">
    <w:abstractNumId w:val="29"/>
  </w:num>
  <w:num w:numId="31">
    <w:abstractNumId w:val="14"/>
  </w:num>
  <w:num w:numId="32">
    <w:abstractNumId w:val="26"/>
  </w:num>
  <w:num w:numId="33">
    <w:abstractNumId w:val="33"/>
  </w:num>
  <w:num w:numId="34">
    <w:abstractNumId w:val="12"/>
  </w:num>
  <w:num w:numId="35">
    <w:abstractNumId w:val="17"/>
  </w:num>
  <w:num w:numId="36">
    <w:abstractNumId w:val="16"/>
  </w:num>
  <w:num w:numId="37">
    <w:abstractNumId w:val="35"/>
  </w:num>
  <w:num w:numId="38">
    <w:abstractNumId w:val="31"/>
  </w:num>
  <w:num w:numId="39">
    <w:abstractNumId w:val="18"/>
  </w:num>
  <w:num w:numId="40">
    <w:abstractNumId w:val="13"/>
  </w:num>
  <w:num w:numId="41">
    <w:abstractNumId w:val="22"/>
  </w:num>
  <w:num w:numId="42">
    <w:abstractNumId w:val="37"/>
  </w:num>
  <w:num w:numId="43">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08"/>
    <w:rsid w:val="000016A5"/>
    <w:rsid w:val="0001687D"/>
    <w:rsid w:val="00020A5B"/>
    <w:rsid w:val="00030C5B"/>
    <w:rsid w:val="00057E3C"/>
    <w:rsid w:val="00070FC4"/>
    <w:rsid w:val="00071987"/>
    <w:rsid w:val="00074D2F"/>
    <w:rsid w:val="0007555C"/>
    <w:rsid w:val="00075C1E"/>
    <w:rsid w:val="0008794A"/>
    <w:rsid w:val="00095956"/>
    <w:rsid w:val="00095FE3"/>
    <w:rsid w:val="000A25AE"/>
    <w:rsid w:val="000A3642"/>
    <w:rsid w:val="000B024D"/>
    <w:rsid w:val="000B2A60"/>
    <w:rsid w:val="000B7751"/>
    <w:rsid w:val="000C07D2"/>
    <w:rsid w:val="000C142E"/>
    <w:rsid w:val="000D0EEE"/>
    <w:rsid w:val="000D3C67"/>
    <w:rsid w:val="000D7DB9"/>
    <w:rsid w:val="000F6EDD"/>
    <w:rsid w:val="0011692E"/>
    <w:rsid w:val="001206DF"/>
    <w:rsid w:val="0012336B"/>
    <w:rsid w:val="001344FE"/>
    <w:rsid w:val="00135219"/>
    <w:rsid w:val="00137B33"/>
    <w:rsid w:val="00143AD7"/>
    <w:rsid w:val="001452B6"/>
    <w:rsid w:val="00146657"/>
    <w:rsid w:val="001500E3"/>
    <w:rsid w:val="00150FF3"/>
    <w:rsid w:val="0017198C"/>
    <w:rsid w:val="00174AFE"/>
    <w:rsid w:val="00177280"/>
    <w:rsid w:val="00182989"/>
    <w:rsid w:val="00182C05"/>
    <w:rsid w:val="00193DE0"/>
    <w:rsid w:val="001A19F7"/>
    <w:rsid w:val="001A3801"/>
    <w:rsid w:val="001A4B95"/>
    <w:rsid w:val="001A4E24"/>
    <w:rsid w:val="001B6E17"/>
    <w:rsid w:val="001C1F01"/>
    <w:rsid w:val="001C2EF4"/>
    <w:rsid w:val="001D2459"/>
    <w:rsid w:val="001D4B2E"/>
    <w:rsid w:val="001F0C13"/>
    <w:rsid w:val="002066F3"/>
    <w:rsid w:val="00207FCC"/>
    <w:rsid w:val="00210E5E"/>
    <w:rsid w:val="00213203"/>
    <w:rsid w:val="00220042"/>
    <w:rsid w:val="00222553"/>
    <w:rsid w:val="002339DA"/>
    <w:rsid w:val="00235D74"/>
    <w:rsid w:val="00236144"/>
    <w:rsid w:val="0024576C"/>
    <w:rsid w:val="00253BF6"/>
    <w:rsid w:val="002557C9"/>
    <w:rsid w:val="00260A1D"/>
    <w:rsid w:val="00263218"/>
    <w:rsid w:val="00272EE5"/>
    <w:rsid w:val="00274E01"/>
    <w:rsid w:val="002A053C"/>
    <w:rsid w:val="002A2D62"/>
    <w:rsid w:val="002A692D"/>
    <w:rsid w:val="002A7CC5"/>
    <w:rsid w:val="002B02E4"/>
    <w:rsid w:val="002D5FCD"/>
    <w:rsid w:val="002D7602"/>
    <w:rsid w:val="002E32BC"/>
    <w:rsid w:val="002E5D4B"/>
    <w:rsid w:val="003038D5"/>
    <w:rsid w:val="00305F5B"/>
    <w:rsid w:val="00310A2D"/>
    <w:rsid w:val="003121E6"/>
    <w:rsid w:val="0031390F"/>
    <w:rsid w:val="0031599A"/>
    <w:rsid w:val="00317508"/>
    <w:rsid w:val="003530AF"/>
    <w:rsid w:val="00360EB6"/>
    <w:rsid w:val="00362BC5"/>
    <w:rsid w:val="00375271"/>
    <w:rsid w:val="00392F8B"/>
    <w:rsid w:val="00392FE4"/>
    <w:rsid w:val="00394C79"/>
    <w:rsid w:val="003977EF"/>
    <w:rsid w:val="003A1398"/>
    <w:rsid w:val="003C0B31"/>
    <w:rsid w:val="003D424B"/>
    <w:rsid w:val="003D6630"/>
    <w:rsid w:val="003F18CD"/>
    <w:rsid w:val="003F22DC"/>
    <w:rsid w:val="0040246A"/>
    <w:rsid w:val="00402DEA"/>
    <w:rsid w:val="004040B0"/>
    <w:rsid w:val="004169EC"/>
    <w:rsid w:val="0042148A"/>
    <w:rsid w:val="004257D7"/>
    <w:rsid w:val="004344F8"/>
    <w:rsid w:val="00441746"/>
    <w:rsid w:val="00454A2C"/>
    <w:rsid w:val="00460483"/>
    <w:rsid w:val="00464987"/>
    <w:rsid w:val="00486FFB"/>
    <w:rsid w:val="00496B11"/>
    <w:rsid w:val="00496CE1"/>
    <w:rsid w:val="004A531E"/>
    <w:rsid w:val="004A6C86"/>
    <w:rsid w:val="004B4FFD"/>
    <w:rsid w:val="004B53E6"/>
    <w:rsid w:val="004B67CC"/>
    <w:rsid w:val="004E4B69"/>
    <w:rsid w:val="00502FA2"/>
    <w:rsid w:val="0050552A"/>
    <w:rsid w:val="00505FF4"/>
    <w:rsid w:val="00520BA0"/>
    <w:rsid w:val="00526532"/>
    <w:rsid w:val="00532D0A"/>
    <w:rsid w:val="0057284A"/>
    <w:rsid w:val="00576FDD"/>
    <w:rsid w:val="00582B72"/>
    <w:rsid w:val="005936FF"/>
    <w:rsid w:val="005B4CAD"/>
    <w:rsid w:val="005D670E"/>
    <w:rsid w:val="005E76C5"/>
    <w:rsid w:val="005E7AAD"/>
    <w:rsid w:val="005F0693"/>
    <w:rsid w:val="005F1143"/>
    <w:rsid w:val="00606BC7"/>
    <w:rsid w:val="00610E17"/>
    <w:rsid w:val="00624DC2"/>
    <w:rsid w:val="006328F5"/>
    <w:rsid w:val="006620EF"/>
    <w:rsid w:val="00670284"/>
    <w:rsid w:val="0068463D"/>
    <w:rsid w:val="006859B7"/>
    <w:rsid w:val="006A494E"/>
    <w:rsid w:val="006C296C"/>
    <w:rsid w:val="006D02FC"/>
    <w:rsid w:val="006D06E8"/>
    <w:rsid w:val="006D6107"/>
    <w:rsid w:val="006E513F"/>
    <w:rsid w:val="006F2C90"/>
    <w:rsid w:val="006F6C05"/>
    <w:rsid w:val="006F71E5"/>
    <w:rsid w:val="007021D8"/>
    <w:rsid w:val="00711003"/>
    <w:rsid w:val="00716A92"/>
    <w:rsid w:val="00726878"/>
    <w:rsid w:val="00726CE6"/>
    <w:rsid w:val="00726FE1"/>
    <w:rsid w:val="00727B99"/>
    <w:rsid w:val="00750341"/>
    <w:rsid w:val="00755063"/>
    <w:rsid w:val="00772C4D"/>
    <w:rsid w:val="007759F4"/>
    <w:rsid w:val="00777B34"/>
    <w:rsid w:val="00781B17"/>
    <w:rsid w:val="0078250C"/>
    <w:rsid w:val="00783127"/>
    <w:rsid w:val="007877D4"/>
    <w:rsid w:val="0079594D"/>
    <w:rsid w:val="007A1AEE"/>
    <w:rsid w:val="007A44D3"/>
    <w:rsid w:val="007D22CE"/>
    <w:rsid w:val="007D3B89"/>
    <w:rsid w:val="007F05BD"/>
    <w:rsid w:val="007F11EE"/>
    <w:rsid w:val="008201A2"/>
    <w:rsid w:val="00847CA7"/>
    <w:rsid w:val="008503A8"/>
    <w:rsid w:val="00856B36"/>
    <w:rsid w:val="00860775"/>
    <w:rsid w:val="00875E04"/>
    <w:rsid w:val="008A07D9"/>
    <w:rsid w:val="008A7E44"/>
    <w:rsid w:val="008B232F"/>
    <w:rsid w:val="008B2E3C"/>
    <w:rsid w:val="008B3AF0"/>
    <w:rsid w:val="008B3E76"/>
    <w:rsid w:val="008B4AC0"/>
    <w:rsid w:val="008C35E7"/>
    <w:rsid w:val="008C3FA4"/>
    <w:rsid w:val="008C5EDC"/>
    <w:rsid w:val="008D60AC"/>
    <w:rsid w:val="008E46B1"/>
    <w:rsid w:val="008E4E07"/>
    <w:rsid w:val="008E6769"/>
    <w:rsid w:val="008E7ED1"/>
    <w:rsid w:val="008F0085"/>
    <w:rsid w:val="008F0EB1"/>
    <w:rsid w:val="008F4C12"/>
    <w:rsid w:val="00900826"/>
    <w:rsid w:val="00901564"/>
    <w:rsid w:val="009039B1"/>
    <w:rsid w:val="00907754"/>
    <w:rsid w:val="0091097D"/>
    <w:rsid w:val="00912A51"/>
    <w:rsid w:val="0093353B"/>
    <w:rsid w:val="00933649"/>
    <w:rsid w:val="00935030"/>
    <w:rsid w:val="00956973"/>
    <w:rsid w:val="0096155C"/>
    <w:rsid w:val="00962584"/>
    <w:rsid w:val="009861D6"/>
    <w:rsid w:val="00991839"/>
    <w:rsid w:val="009A15D8"/>
    <w:rsid w:val="009D0EC2"/>
    <w:rsid w:val="009D7ED9"/>
    <w:rsid w:val="009E21D5"/>
    <w:rsid w:val="009E72C3"/>
    <w:rsid w:val="009F568A"/>
    <w:rsid w:val="00A0681B"/>
    <w:rsid w:val="00A06919"/>
    <w:rsid w:val="00A2042C"/>
    <w:rsid w:val="00A25061"/>
    <w:rsid w:val="00A40230"/>
    <w:rsid w:val="00A81CF2"/>
    <w:rsid w:val="00A83A29"/>
    <w:rsid w:val="00A97651"/>
    <w:rsid w:val="00AC292D"/>
    <w:rsid w:val="00AC7ACC"/>
    <w:rsid w:val="00AD41A1"/>
    <w:rsid w:val="00AD4724"/>
    <w:rsid w:val="00AE0D5E"/>
    <w:rsid w:val="00AE5FAD"/>
    <w:rsid w:val="00B03DE3"/>
    <w:rsid w:val="00B12C89"/>
    <w:rsid w:val="00B20785"/>
    <w:rsid w:val="00B20BF4"/>
    <w:rsid w:val="00B21537"/>
    <w:rsid w:val="00B219B5"/>
    <w:rsid w:val="00B21F43"/>
    <w:rsid w:val="00B238EE"/>
    <w:rsid w:val="00B26AB7"/>
    <w:rsid w:val="00B26B5C"/>
    <w:rsid w:val="00B3675D"/>
    <w:rsid w:val="00B56763"/>
    <w:rsid w:val="00B60C55"/>
    <w:rsid w:val="00B670CC"/>
    <w:rsid w:val="00B8478F"/>
    <w:rsid w:val="00B932BE"/>
    <w:rsid w:val="00BB2B77"/>
    <w:rsid w:val="00BB3322"/>
    <w:rsid w:val="00BB45CE"/>
    <w:rsid w:val="00BB71C5"/>
    <w:rsid w:val="00BC7F18"/>
    <w:rsid w:val="00BD52B7"/>
    <w:rsid w:val="00BE6734"/>
    <w:rsid w:val="00C24026"/>
    <w:rsid w:val="00C444B3"/>
    <w:rsid w:val="00C4496F"/>
    <w:rsid w:val="00C47E4F"/>
    <w:rsid w:val="00C5721E"/>
    <w:rsid w:val="00C60815"/>
    <w:rsid w:val="00C81FD2"/>
    <w:rsid w:val="00C90CA8"/>
    <w:rsid w:val="00C97A0D"/>
    <w:rsid w:val="00CA01E2"/>
    <w:rsid w:val="00CA2A84"/>
    <w:rsid w:val="00CB0293"/>
    <w:rsid w:val="00CB40D6"/>
    <w:rsid w:val="00CB49A0"/>
    <w:rsid w:val="00CC08EE"/>
    <w:rsid w:val="00CD44BA"/>
    <w:rsid w:val="00CD7E26"/>
    <w:rsid w:val="00CE00BE"/>
    <w:rsid w:val="00CE77E6"/>
    <w:rsid w:val="00D1104D"/>
    <w:rsid w:val="00D459D5"/>
    <w:rsid w:val="00D84DBE"/>
    <w:rsid w:val="00D96E61"/>
    <w:rsid w:val="00DA123F"/>
    <w:rsid w:val="00DA6C1C"/>
    <w:rsid w:val="00DA7B83"/>
    <w:rsid w:val="00DC6C4A"/>
    <w:rsid w:val="00DE50F2"/>
    <w:rsid w:val="00DF1310"/>
    <w:rsid w:val="00DF22A0"/>
    <w:rsid w:val="00DF5304"/>
    <w:rsid w:val="00DF6EED"/>
    <w:rsid w:val="00E04DD4"/>
    <w:rsid w:val="00E0565B"/>
    <w:rsid w:val="00E102DC"/>
    <w:rsid w:val="00E23F79"/>
    <w:rsid w:val="00E2425D"/>
    <w:rsid w:val="00E25E6F"/>
    <w:rsid w:val="00E41E28"/>
    <w:rsid w:val="00E421C0"/>
    <w:rsid w:val="00E42428"/>
    <w:rsid w:val="00E42491"/>
    <w:rsid w:val="00E425C2"/>
    <w:rsid w:val="00E4734A"/>
    <w:rsid w:val="00E54DE7"/>
    <w:rsid w:val="00E60630"/>
    <w:rsid w:val="00E65A60"/>
    <w:rsid w:val="00E70644"/>
    <w:rsid w:val="00E8151A"/>
    <w:rsid w:val="00E82EBB"/>
    <w:rsid w:val="00E875F2"/>
    <w:rsid w:val="00E91EAE"/>
    <w:rsid w:val="00ED39F8"/>
    <w:rsid w:val="00ED6B25"/>
    <w:rsid w:val="00ED7069"/>
    <w:rsid w:val="00EE0B0C"/>
    <w:rsid w:val="00EE67A7"/>
    <w:rsid w:val="00F0558E"/>
    <w:rsid w:val="00F06DA9"/>
    <w:rsid w:val="00F1784D"/>
    <w:rsid w:val="00F17F4C"/>
    <w:rsid w:val="00F2676F"/>
    <w:rsid w:val="00F35321"/>
    <w:rsid w:val="00F433F7"/>
    <w:rsid w:val="00F57A02"/>
    <w:rsid w:val="00F60038"/>
    <w:rsid w:val="00F60E26"/>
    <w:rsid w:val="00F62292"/>
    <w:rsid w:val="00F65BCE"/>
    <w:rsid w:val="00F85DDA"/>
    <w:rsid w:val="00F918A1"/>
    <w:rsid w:val="00F925EB"/>
    <w:rsid w:val="00F926E2"/>
    <w:rsid w:val="00F93335"/>
    <w:rsid w:val="00FB533A"/>
    <w:rsid w:val="00FC2858"/>
    <w:rsid w:val="00FC41B7"/>
    <w:rsid w:val="00FE07E4"/>
    <w:rsid w:val="00FE46AF"/>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35321"/>
    <w:rPr>
      <w:rFonts w:ascii="Arial" w:hAnsi="Arial"/>
      <w:sz w:val="19"/>
      <w:szCs w:val="24"/>
      <w:lang w:val="en-US" w:eastAsia="en-US"/>
    </w:rPr>
  </w:style>
  <w:style w:type="paragraph" w:styleId="Heading1">
    <w:name w:val="heading 1"/>
    <w:basedOn w:val="Normal"/>
    <w:next w:val="Heading2"/>
    <w:link w:val="Heading1Char"/>
    <w:uiPriority w:val="99"/>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Heading2">
    <w:name w:val="heading 2"/>
    <w:basedOn w:val="Heading1"/>
    <w:next w:val="Heading3"/>
    <w:link w:val="Heading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Heading3">
    <w:name w:val="heading 3"/>
    <w:basedOn w:val="Heading2"/>
    <w:next w:val="Normal"/>
    <w:link w:val="Heading3Char"/>
    <w:uiPriority w:val="99"/>
    <w:qFormat/>
    <w:rsid w:val="00E421C0"/>
    <w:pPr>
      <w:numPr>
        <w:ilvl w:val="2"/>
      </w:numPr>
      <w:outlineLvl w:val="2"/>
    </w:pPr>
    <w:rPr>
      <w:bCs/>
      <w:color w:val="3C8A2E"/>
      <w:szCs w:val="26"/>
    </w:rPr>
  </w:style>
  <w:style w:type="paragraph" w:styleId="Heading4">
    <w:name w:val="heading 4"/>
    <w:basedOn w:val="Normal"/>
    <w:next w:val="Normal"/>
    <w:link w:val="Heading4Char"/>
    <w:uiPriority w:val="99"/>
    <w:qFormat/>
    <w:rsid w:val="0008794A"/>
    <w:pPr>
      <w:keepNext/>
      <w:keepLines/>
      <w:numPr>
        <w:ilvl w:val="3"/>
        <w:numId w:val="5"/>
      </w:numPr>
      <w:spacing w:before="240" w:after="240"/>
      <w:outlineLvl w:val="3"/>
    </w:pPr>
    <w:rPr>
      <w:b/>
      <w:bCs/>
      <w:iCs/>
      <w:sz w:val="24"/>
    </w:rPr>
  </w:style>
  <w:style w:type="paragraph" w:styleId="Heading5">
    <w:name w:val="heading 5"/>
    <w:basedOn w:val="Normal"/>
    <w:next w:val="Normal"/>
    <w:link w:val="Heading5Char"/>
    <w:uiPriority w:val="99"/>
    <w:qFormat/>
    <w:rsid w:val="0008794A"/>
    <w:pPr>
      <w:keepNext/>
      <w:keepLines/>
      <w:numPr>
        <w:ilvl w:val="4"/>
        <w:numId w:val="5"/>
      </w:numPr>
      <w:spacing w:before="240" w:after="240"/>
      <w:outlineLvl w:val="4"/>
    </w:pPr>
    <w:rPr>
      <w:b/>
      <w:i/>
      <w:color w:val="00133A"/>
      <w:sz w:val="24"/>
    </w:rPr>
  </w:style>
  <w:style w:type="paragraph" w:styleId="Heading6">
    <w:name w:val="heading 6"/>
    <w:basedOn w:val="Normal"/>
    <w:next w:val="Normal"/>
    <w:link w:val="Heading6Char"/>
    <w:uiPriority w:val="99"/>
    <w:qFormat/>
    <w:rsid w:val="0008794A"/>
    <w:pPr>
      <w:keepNext/>
      <w:keepLines/>
      <w:numPr>
        <w:ilvl w:val="5"/>
        <w:numId w:val="5"/>
      </w:numPr>
      <w:spacing w:before="240" w:after="240"/>
      <w:ind w:left="1418" w:hanging="1418"/>
      <w:outlineLvl w:val="5"/>
    </w:pPr>
    <w:rPr>
      <w:i/>
      <w:iCs/>
      <w:color w:val="00133A"/>
      <w:sz w:val="24"/>
    </w:rPr>
  </w:style>
  <w:style w:type="paragraph" w:styleId="Heading7">
    <w:name w:val="heading 7"/>
    <w:basedOn w:val="Normal"/>
    <w:next w:val="Normal"/>
    <w:link w:val="Heading7Char"/>
    <w:uiPriority w:val="99"/>
    <w:qFormat/>
    <w:rsid w:val="00E421C0"/>
    <w:pPr>
      <w:keepNext/>
      <w:keepLines/>
      <w:numPr>
        <w:ilvl w:val="6"/>
        <w:numId w:val="5"/>
      </w:numPr>
      <w:spacing w:before="240" w:after="240"/>
      <w:ind w:left="1576" w:hanging="1576"/>
      <w:outlineLvl w:val="6"/>
    </w:pPr>
    <w:rPr>
      <w:i/>
      <w:iCs/>
      <w:color w:val="404040"/>
      <w:sz w:val="22"/>
    </w:rPr>
  </w:style>
  <w:style w:type="paragraph" w:styleId="Heading8">
    <w:name w:val="heading 8"/>
    <w:basedOn w:val="Normal"/>
    <w:next w:val="Normal"/>
    <w:link w:val="Heading8Char"/>
    <w:uiPriority w:val="99"/>
    <w:qFormat/>
    <w:rsid w:val="00E421C0"/>
    <w:pPr>
      <w:keepNext/>
      <w:keepLines/>
      <w:numPr>
        <w:ilvl w:val="7"/>
        <w:numId w:val="5"/>
      </w:numPr>
      <w:spacing w:before="240" w:after="240"/>
      <w:ind w:left="1701" w:hanging="1701"/>
      <w:outlineLvl w:val="7"/>
    </w:pPr>
    <w:rPr>
      <w:i/>
      <w:color w:val="404040"/>
      <w:sz w:val="20"/>
      <w:szCs w:val="20"/>
    </w:rPr>
  </w:style>
  <w:style w:type="paragraph" w:styleId="Heading9">
    <w:name w:val="heading 9"/>
    <w:basedOn w:val="Normal"/>
    <w:next w:val="Normal"/>
    <w:link w:val="Heading9Char"/>
    <w:uiPriority w:val="99"/>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84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FE5840"/>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9"/>
    <w:locked/>
    <w:rsid w:val="00317508"/>
    <w:rPr>
      <w:rFonts w:ascii="Arial" w:hAnsi="Arial" w:cs="Arial"/>
      <w:b/>
      <w:bCs/>
      <w:iCs/>
      <w:color w:val="3C8A2E"/>
      <w:kern w:val="32"/>
      <w:sz w:val="26"/>
      <w:szCs w:val="26"/>
    </w:rPr>
  </w:style>
  <w:style w:type="character" w:customStyle="1" w:styleId="Heading4Char">
    <w:name w:val="Heading 4 Char"/>
    <w:link w:val="Heading4"/>
    <w:uiPriority w:val="99"/>
    <w:locked/>
    <w:rsid w:val="0008794A"/>
    <w:rPr>
      <w:rFonts w:ascii="Arial" w:hAnsi="Arial" w:cs="Times New Roman"/>
      <w:b/>
      <w:bCs/>
      <w:iCs/>
      <w:sz w:val="24"/>
      <w:szCs w:val="24"/>
    </w:rPr>
  </w:style>
  <w:style w:type="character" w:customStyle="1" w:styleId="Heading5Char">
    <w:name w:val="Heading 5 Char"/>
    <w:link w:val="Heading5"/>
    <w:uiPriority w:val="99"/>
    <w:locked/>
    <w:rsid w:val="0008794A"/>
    <w:rPr>
      <w:rFonts w:ascii="Arial" w:hAnsi="Arial" w:cs="Times New Roman"/>
      <w:b/>
      <w:i/>
      <w:color w:val="00133A"/>
      <w:sz w:val="24"/>
      <w:szCs w:val="24"/>
    </w:rPr>
  </w:style>
  <w:style w:type="character" w:customStyle="1" w:styleId="Heading6Char">
    <w:name w:val="Heading 6 Char"/>
    <w:link w:val="Heading6"/>
    <w:uiPriority w:val="99"/>
    <w:locked/>
    <w:rsid w:val="0008794A"/>
    <w:rPr>
      <w:rFonts w:ascii="Arial" w:hAnsi="Arial" w:cs="Times New Roman"/>
      <w:i/>
      <w:iCs/>
      <w:color w:val="00133A"/>
      <w:sz w:val="24"/>
      <w:szCs w:val="24"/>
    </w:rPr>
  </w:style>
  <w:style w:type="character" w:customStyle="1" w:styleId="Heading7Char">
    <w:name w:val="Heading 7 Char"/>
    <w:link w:val="Heading7"/>
    <w:uiPriority w:val="99"/>
    <w:locked/>
    <w:rsid w:val="00E421C0"/>
    <w:rPr>
      <w:rFonts w:ascii="Arial" w:hAnsi="Arial" w:cs="Times New Roman"/>
      <w:i/>
      <w:iCs/>
      <w:color w:val="404040"/>
      <w:sz w:val="24"/>
      <w:szCs w:val="24"/>
    </w:rPr>
  </w:style>
  <w:style w:type="character" w:customStyle="1" w:styleId="Heading8Char">
    <w:name w:val="Heading 8 Char"/>
    <w:link w:val="Heading8"/>
    <w:uiPriority w:val="99"/>
    <w:semiHidden/>
    <w:locked/>
    <w:rsid w:val="00E421C0"/>
    <w:rPr>
      <w:rFonts w:ascii="Arial" w:hAnsi="Arial" w:cs="Times New Roman"/>
      <w:i/>
      <w:color w:val="404040"/>
    </w:rPr>
  </w:style>
  <w:style w:type="character" w:customStyle="1" w:styleId="Heading9Char">
    <w:name w:val="Heading 9 Char"/>
    <w:link w:val="Heading9"/>
    <w:uiPriority w:val="99"/>
    <w:semiHidden/>
    <w:locked/>
    <w:rsid w:val="00E421C0"/>
    <w:rPr>
      <w:rFonts w:ascii="Arial" w:hAnsi="Arial" w:cs="Times New Roman"/>
      <w:i/>
      <w:iCs/>
      <w:color w:val="404040"/>
      <w:sz w:val="18"/>
    </w:rPr>
  </w:style>
  <w:style w:type="table" w:styleId="TableGrid">
    <w:name w:val="Table Grid"/>
    <w:aliases w:val="Deloitte table 3"/>
    <w:basedOn w:val="TableNormal"/>
    <w:uiPriority w:val="9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cs="Times New Roman"/>
        <w:b/>
        <w:color w:val="FFFFFF"/>
        <w:sz w:val="19"/>
      </w:rPr>
      <w:tblPr/>
      <w:tcPr>
        <w:shd w:val="clear" w:color="auto" w:fill="72C7E7"/>
      </w:tcPr>
    </w:tblStylePr>
    <w:tblStylePr w:type="firstCol">
      <w:rPr>
        <w:rFonts w:ascii="Arial" w:hAnsi="Arial" w:cs="Times New Roman"/>
        <w:sz w:val="19"/>
      </w:rPr>
    </w:tblStylePr>
  </w:style>
  <w:style w:type="paragraph" w:styleId="Header">
    <w:name w:val="header"/>
    <w:basedOn w:val="Normal"/>
    <w:link w:val="HeaderChar"/>
    <w:uiPriority w:val="99"/>
    <w:rsid w:val="00E421C0"/>
    <w:pPr>
      <w:tabs>
        <w:tab w:val="center" w:pos="4703"/>
        <w:tab w:val="right" w:pos="9406"/>
      </w:tabs>
    </w:pPr>
    <w:rPr>
      <w:sz w:val="16"/>
    </w:rPr>
  </w:style>
  <w:style w:type="character" w:customStyle="1" w:styleId="HeaderChar">
    <w:name w:val="Header Char"/>
    <w:link w:val="Header"/>
    <w:uiPriority w:val="99"/>
    <w:locked/>
    <w:rsid w:val="00E421C0"/>
    <w:rPr>
      <w:rFonts w:ascii="Arial" w:hAnsi="Arial" w:cs="Times New Roman"/>
      <w:sz w:val="24"/>
      <w:szCs w:val="24"/>
    </w:rPr>
  </w:style>
  <w:style w:type="paragraph" w:styleId="Footer">
    <w:name w:val="footer"/>
    <w:basedOn w:val="Normal"/>
    <w:link w:val="FooterChar"/>
    <w:uiPriority w:val="99"/>
    <w:rsid w:val="006F71E5"/>
    <w:pPr>
      <w:tabs>
        <w:tab w:val="center" w:pos="4703"/>
        <w:tab w:val="right" w:pos="9406"/>
      </w:tabs>
    </w:pPr>
    <w:rPr>
      <w:sz w:val="16"/>
    </w:rPr>
  </w:style>
  <w:style w:type="character" w:customStyle="1" w:styleId="FooterChar">
    <w:name w:val="Footer Char"/>
    <w:link w:val="Footer"/>
    <w:uiPriority w:val="99"/>
    <w:locked/>
    <w:rsid w:val="006F71E5"/>
    <w:rPr>
      <w:rFonts w:ascii="Arial" w:hAnsi="Arial" w:cs="Times New Roman"/>
      <w:sz w:val="24"/>
      <w:szCs w:val="24"/>
    </w:rPr>
  </w:style>
  <w:style w:type="character" w:styleId="PageNumber">
    <w:name w:val="page number"/>
    <w:uiPriority w:val="99"/>
    <w:rsid w:val="00E421C0"/>
    <w:rPr>
      <w:rFonts w:ascii="Arial" w:hAnsi="Arial" w:cs="Times New Roman"/>
      <w:sz w:val="16"/>
    </w:rPr>
  </w:style>
  <w:style w:type="paragraph" w:styleId="TOC1">
    <w:name w:val="toc 1"/>
    <w:basedOn w:val="Normal"/>
    <w:next w:val="Normal"/>
    <w:autoRedefine/>
    <w:uiPriority w:val="99"/>
    <w:rsid w:val="0008794A"/>
    <w:pPr>
      <w:spacing w:after="240"/>
    </w:pPr>
    <w:rPr>
      <w:sz w:val="24"/>
    </w:rPr>
  </w:style>
  <w:style w:type="paragraph" w:styleId="TOC2">
    <w:name w:val="toc 2"/>
    <w:basedOn w:val="Normal"/>
    <w:next w:val="Normal"/>
    <w:autoRedefine/>
    <w:uiPriority w:val="99"/>
    <w:rsid w:val="0008794A"/>
    <w:pPr>
      <w:spacing w:after="240"/>
      <w:ind w:left="238"/>
    </w:pPr>
    <w:rPr>
      <w:sz w:val="24"/>
    </w:rPr>
  </w:style>
  <w:style w:type="paragraph" w:styleId="TOC3">
    <w:name w:val="toc 3"/>
    <w:basedOn w:val="Normal"/>
    <w:next w:val="Normal"/>
    <w:autoRedefine/>
    <w:uiPriority w:val="99"/>
    <w:rsid w:val="0008794A"/>
    <w:pPr>
      <w:spacing w:after="240"/>
      <w:ind w:left="482"/>
    </w:pPr>
    <w:rPr>
      <w:sz w:val="24"/>
    </w:rPr>
  </w:style>
  <w:style w:type="character" w:styleId="Hyperlink">
    <w:name w:val="Hyperlink"/>
    <w:uiPriority w:val="99"/>
    <w:rsid w:val="006F71E5"/>
    <w:rPr>
      <w:rFonts w:ascii="Arial" w:hAnsi="Arial" w:cs="Times New Roman"/>
      <w:color w:val="00A1DE"/>
      <w:sz w:val="19"/>
      <w:u w:val="single"/>
    </w:rPr>
  </w:style>
  <w:style w:type="paragraph" w:styleId="BalloonText">
    <w:name w:val="Balloon Text"/>
    <w:basedOn w:val="Normal"/>
    <w:link w:val="BalloonTextChar"/>
    <w:uiPriority w:val="99"/>
    <w:semiHidden/>
    <w:rsid w:val="00392FE4"/>
    <w:rPr>
      <w:rFonts w:ascii="Tahoma" w:hAnsi="Tahoma" w:cs="Tahoma"/>
      <w:sz w:val="16"/>
      <w:szCs w:val="16"/>
    </w:rPr>
  </w:style>
  <w:style w:type="character" w:customStyle="1" w:styleId="BalloonTextChar">
    <w:name w:val="Balloon Text Char"/>
    <w:link w:val="BalloonText"/>
    <w:uiPriority w:val="99"/>
    <w:semiHidden/>
    <w:rsid w:val="00FE5840"/>
    <w:rPr>
      <w:sz w:val="0"/>
      <w:szCs w:val="0"/>
      <w:lang w:val="en-US" w:eastAsia="en-US"/>
    </w:rPr>
  </w:style>
  <w:style w:type="paragraph" w:customStyle="1" w:styleId="BodyText1">
    <w:name w:val="Body Text1"/>
    <w:uiPriority w:val="99"/>
    <w:rsid w:val="00E42491"/>
    <w:rPr>
      <w:rFonts w:ascii="Arial" w:hAnsi="Arial"/>
      <w:color w:val="000000"/>
      <w:sz w:val="19"/>
      <w:szCs w:val="48"/>
      <w:lang w:eastAsia="en-US"/>
    </w:rPr>
  </w:style>
  <w:style w:type="paragraph" w:customStyle="1" w:styleId="Legalentity">
    <w:name w:val="Legal entity"/>
    <w:basedOn w:val="Normal"/>
    <w:uiPriority w:val="99"/>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uiPriority w:val="99"/>
    <w:rsid w:val="00900826"/>
    <w:pPr>
      <w:numPr>
        <w:numId w:val="33"/>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CaptionIntroductionparagraph">
    <w:name w:val="Caption Introduction paragraph"/>
    <w:uiPriority w:val="99"/>
    <w:rsid w:val="007F11EE"/>
    <w:rPr>
      <w:rFonts w:ascii="Arial" w:hAnsi="Arial"/>
      <w:b/>
      <w:color w:val="00A1DE"/>
      <w:sz w:val="24"/>
      <w:szCs w:val="22"/>
      <w:lang w:eastAsia="en-US"/>
    </w:rPr>
  </w:style>
  <w:style w:type="paragraph" w:customStyle="1" w:styleId="smlouvaheading2">
    <w:name w:val="smlouva heading 2"/>
    <w:basedOn w:val="CaptionIntroductionparagraph"/>
    <w:next w:val="BodyText1"/>
    <w:uiPriority w:val="99"/>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uiPriority w:val="99"/>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uiPriority w:val="99"/>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uiPriority w:val="99"/>
    <w:rsid w:val="00900826"/>
    <w:pPr>
      <w:numPr>
        <w:ilvl w:val="0"/>
        <w:numId w:val="0"/>
      </w:numPr>
    </w:pPr>
    <w:rPr>
      <w:b/>
    </w:rPr>
  </w:style>
  <w:style w:type="paragraph" w:customStyle="1" w:styleId="Bodytextbold">
    <w:name w:val="Body text bold"/>
    <w:basedOn w:val="smlouvabodytextbold"/>
    <w:next w:val="BodyText1"/>
    <w:uiPriority w:val="99"/>
    <w:rsid w:val="00075C1E"/>
    <w:pPr>
      <w:tabs>
        <w:tab w:val="clear" w:pos="1021"/>
        <w:tab w:val="left" w:pos="1134"/>
      </w:tabs>
    </w:pPr>
    <w:rPr>
      <w:color w:val="000000"/>
    </w:rPr>
  </w:style>
  <w:style w:type="character" w:customStyle="1" w:styleId="CaptionbodyChar">
    <w:name w:val="Caption body Char"/>
    <w:link w:val="Captionbody"/>
    <w:uiPriority w:val="99"/>
    <w:locked/>
    <w:rsid w:val="005B4CAD"/>
    <w:rPr>
      <w:rFonts w:ascii="Arial" w:hAnsi="Arial" w:cs="Times New Roman"/>
      <w:color w:val="000000"/>
      <w:sz w:val="18"/>
      <w:lang w:val="en-US" w:eastAsia="en-US" w:bidi="ar-SA"/>
    </w:rPr>
  </w:style>
  <w:style w:type="paragraph" w:customStyle="1" w:styleId="Captionbody">
    <w:name w:val="Caption body"/>
    <w:link w:val="CaptionbodyChar"/>
    <w:uiPriority w:val="99"/>
    <w:rsid w:val="005B4CAD"/>
    <w:rPr>
      <w:rFonts w:ascii="Arial" w:hAnsi="Arial"/>
      <w:color w:val="000000"/>
      <w:sz w:val="18"/>
      <w:lang w:val="en-US" w:eastAsia="en-US"/>
    </w:rPr>
  </w:style>
  <w:style w:type="paragraph" w:customStyle="1" w:styleId="Captionheading">
    <w:name w:val="Caption heading"/>
    <w:basedOn w:val="Captionbody"/>
    <w:uiPriority w:val="99"/>
    <w:rsid w:val="005B4CAD"/>
    <w:rPr>
      <w:b/>
    </w:rPr>
  </w:style>
  <w:style w:type="paragraph" w:customStyle="1" w:styleId="smlouvabodytext">
    <w:name w:val="smlouva body text"/>
    <w:basedOn w:val="Normal"/>
    <w:uiPriority w:val="99"/>
    <w:rsid w:val="00900826"/>
    <w:pPr>
      <w:spacing w:before="120"/>
      <w:jc w:val="both"/>
    </w:pPr>
    <w:rPr>
      <w:noProof/>
    </w:rPr>
  </w:style>
  <w:style w:type="paragraph" w:customStyle="1" w:styleId="Bulletslevel1">
    <w:name w:val="Bullets level 1"/>
    <w:basedOn w:val="Normal"/>
    <w:link w:val="Bulletslevel1Char"/>
    <w:uiPriority w:val="99"/>
    <w:rsid w:val="00075C1E"/>
    <w:pPr>
      <w:numPr>
        <w:numId w:val="4"/>
      </w:numPr>
      <w:spacing w:before="120"/>
      <w:ind w:left="360"/>
    </w:pPr>
    <w:rPr>
      <w:color w:val="000000"/>
      <w:szCs w:val="20"/>
      <w:lang w:val="en-GB"/>
    </w:rPr>
  </w:style>
  <w:style w:type="character" w:customStyle="1" w:styleId="Bulletslevel1Char">
    <w:name w:val="Bullets level 1 Char"/>
    <w:link w:val="Bulletslevel1"/>
    <w:uiPriority w:val="99"/>
    <w:locked/>
    <w:rsid w:val="001C2EF4"/>
    <w:rPr>
      <w:rFonts w:ascii="Arial" w:eastAsia="Times New Roman" w:hAnsi="Arial" w:cs="Times New Roman"/>
      <w:color w:val="000000"/>
      <w:sz w:val="19"/>
      <w:lang w:val="en-GB"/>
    </w:rPr>
  </w:style>
  <w:style w:type="paragraph" w:customStyle="1" w:styleId="Bulletslevel2">
    <w:name w:val="Bullets level 2"/>
    <w:basedOn w:val="Normal"/>
    <w:link w:val="Bulletslevel2Char"/>
    <w:uiPriority w:val="99"/>
    <w:rsid w:val="00DC6C4A"/>
    <w:pPr>
      <w:numPr>
        <w:numId w:val="18"/>
      </w:numPr>
      <w:tabs>
        <w:tab w:val="left" w:pos="567"/>
      </w:tabs>
      <w:spacing w:before="120"/>
    </w:pPr>
    <w:rPr>
      <w:color w:val="000000"/>
      <w:szCs w:val="20"/>
      <w:lang w:val="en-GB"/>
    </w:rPr>
  </w:style>
  <w:style w:type="character" w:customStyle="1" w:styleId="Bulletslevel2Char">
    <w:name w:val="Bullets level 2 Char"/>
    <w:link w:val="Bulletslevel2"/>
    <w:uiPriority w:val="99"/>
    <w:locked/>
    <w:rsid w:val="00DC6C4A"/>
    <w:rPr>
      <w:rFonts w:ascii="Arial" w:eastAsia="Times New Roman" w:hAnsi="Arial" w:cs="Times New Roman"/>
      <w:color w:val="000000"/>
      <w:sz w:val="19"/>
      <w:lang w:val="en-GB"/>
    </w:rPr>
  </w:style>
  <w:style w:type="paragraph" w:customStyle="1" w:styleId="PulloutQuote">
    <w:name w:val="Pullout Quote"/>
    <w:uiPriority w:val="99"/>
    <w:rsid w:val="00095956"/>
    <w:pPr>
      <w:pBdr>
        <w:top w:val="single" w:sz="4" w:space="4" w:color="00A1DE"/>
      </w:pBdr>
      <w:suppressAutoHyphens/>
      <w:spacing w:line="320" w:lineRule="exact"/>
    </w:pPr>
    <w:rPr>
      <w:color w:val="00A1DE"/>
      <w:sz w:val="32"/>
      <w:lang w:val="en-GB" w:eastAsia="en-US"/>
    </w:rPr>
  </w:style>
  <w:style w:type="paragraph" w:customStyle="1" w:styleId="Highlight1">
    <w:name w:val="Highlight 1"/>
    <w:basedOn w:val="Normal"/>
    <w:uiPriority w:val="99"/>
    <w:rsid w:val="00146657"/>
    <w:rPr>
      <w:b/>
      <w:color w:val="3C8A2E"/>
      <w:sz w:val="20"/>
      <w:szCs w:val="16"/>
      <w:lang w:val="cs-CZ"/>
    </w:rPr>
  </w:style>
  <w:style w:type="paragraph" w:customStyle="1" w:styleId="Highlight2">
    <w:name w:val="Highlight 2"/>
    <w:basedOn w:val="Highlight1"/>
    <w:uiPriority w:val="99"/>
    <w:rsid w:val="00146657"/>
    <w:rPr>
      <w:color w:val="92D400"/>
    </w:rPr>
  </w:style>
  <w:style w:type="table" w:customStyle="1" w:styleId="Deloittetable1">
    <w:name w:val="Deloitte table 1"/>
    <w:uiPriority w:val="99"/>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styleId="TOC4">
    <w:name w:val="toc 4"/>
    <w:basedOn w:val="Normal"/>
    <w:next w:val="Normal"/>
    <w:autoRedefine/>
    <w:uiPriority w:val="99"/>
    <w:rsid w:val="00CB0293"/>
    <w:pPr>
      <w:spacing w:after="240"/>
      <w:ind w:left="720"/>
    </w:pPr>
  </w:style>
  <w:style w:type="table" w:customStyle="1" w:styleId="Deloittetable2">
    <w:name w:val="Deloitte table 2"/>
    <w:uiPriority w:val="99"/>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le3Deffects1">
    <w:name w:val="Table 3D effects 1"/>
    <w:basedOn w:val="TableNormal"/>
    <w:uiPriority w:val="99"/>
    <w:rsid w:val="00CE00B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uiPriority w:val="99"/>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style>
  <w:style w:type="table" w:customStyle="1" w:styleId="Deloittetable5">
    <w:name w:val="Deloitte table 5"/>
    <w:uiPriority w:val="99"/>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Style1">
    <w:name w:val="Style1"/>
    <w:uiPriority w:val="99"/>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uiPriority w:val="99"/>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style>
  <w:style w:type="table" w:customStyle="1" w:styleId="Deloittetable7">
    <w:name w:val="Deloitte table 7"/>
    <w:uiPriority w:val="99"/>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style>
  <w:style w:type="table" w:styleId="Table3Deffects3">
    <w:name w:val="Table 3D effects 3"/>
    <w:basedOn w:val="TableNormal"/>
    <w:uiPriority w:val="99"/>
    <w:rsid w:val="00CE00B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Deloittetable8">
    <w:name w:val="Deloitte table 8"/>
    <w:uiPriority w:val="99"/>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style>
  <w:style w:type="table" w:customStyle="1" w:styleId="Deloittetable81">
    <w:name w:val="Deloitte table 8.1"/>
    <w:uiPriority w:val="99"/>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table" w:customStyle="1" w:styleId="Deloittetable82">
    <w:name w:val="Deloitte table 8.2"/>
    <w:uiPriority w:val="99"/>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customStyle="1" w:styleId="Deloittetable83">
    <w:name w:val="Deloitte table 8.3"/>
    <w:uiPriority w:val="99"/>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style>
  <w:style w:type="table" w:customStyle="1" w:styleId="Deloittetable84">
    <w:name w:val="Deloitte table 8.4"/>
    <w:uiPriority w:val="99"/>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style>
  <w:style w:type="table" w:customStyle="1" w:styleId="Deloittetable85">
    <w:name w:val="Deloitte table 8.5"/>
    <w:uiPriority w:val="99"/>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Deloittetable86">
    <w:name w:val="Deloitte table 8.6"/>
    <w:uiPriority w:val="99"/>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leColumns3">
    <w:name w:val="Table Columns 3"/>
    <w:basedOn w:val="TableNormal"/>
    <w:uiPriority w:val="99"/>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rfulList-Accent4">
    <w:name w:val="Colorful List Accent 4"/>
    <w:basedOn w:val="TableNormal"/>
    <w:uiPriority w:val="99"/>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rFonts w:cs="Times New Roman"/>
        <w:b/>
        <w:bCs/>
        <w:color w:val="FFFFFF"/>
      </w:rPr>
      <w:tblPr/>
      <w:tcPr>
        <w:tcBorders>
          <w:bottom w:val="single" w:sz="12" w:space="0" w:color="FFFFFF"/>
        </w:tcBorders>
        <w:shd w:val="clear" w:color="auto" w:fill="007FB1"/>
      </w:tcPr>
    </w:tblStylePr>
    <w:tblStylePr w:type="lastRow">
      <w:rPr>
        <w:rFonts w:cs="Times New Roman"/>
        <w:b/>
        <w:bCs/>
        <w:color w:val="007FB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F1F9"/>
      </w:tcPr>
    </w:tblStylePr>
    <w:tblStylePr w:type="band1Horz">
      <w:rPr>
        <w:rFonts w:cs="Times New Roman"/>
      </w:rPr>
      <w:tblPr/>
      <w:tcPr>
        <w:shd w:val="clear" w:color="auto" w:fill="E2F3FA"/>
      </w:tcPr>
    </w:tblStylePr>
  </w:style>
  <w:style w:type="table" w:styleId="MediumGrid2-Accent4">
    <w:name w:val="Medium Grid 2 Accent 4"/>
    <w:basedOn w:val="TableNormal"/>
    <w:uiPriority w:val="99"/>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rFonts w:cs="Times New Roman"/>
        <w:b/>
        <w:bCs/>
        <w:color w:val="000000"/>
      </w:rPr>
      <w:tblPr/>
      <w:tcPr>
        <w:shd w:val="clear" w:color="auto" w:fill="F1F9F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F3FA"/>
      </w:tcPr>
    </w:tblStylePr>
    <w:tblStylePr w:type="band1Vert">
      <w:rPr>
        <w:rFonts w:cs="Times New Roman"/>
      </w:rPr>
      <w:tblPr/>
      <w:tcPr>
        <w:shd w:val="clear" w:color="auto" w:fill="B8E2F3"/>
      </w:tcPr>
    </w:tblStylePr>
    <w:tblStylePr w:type="band1Horz">
      <w:rPr>
        <w:rFonts w:cs="Times New Roman"/>
      </w:rPr>
      <w:tblPr/>
      <w:tcPr>
        <w:tcBorders>
          <w:insideH w:val="single" w:sz="6" w:space="0" w:color="72C7E7"/>
          <w:insideV w:val="single" w:sz="6" w:space="0" w:color="72C7E7"/>
        </w:tcBorders>
        <w:shd w:val="clear" w:color="auto" w:fill="B8E2F3"/>
      </w:tcPr>
    </w:tblStylePr>
    <w:tblStylePr w:type="nwCell">
      <w:rPr>
        <w:rFonts w:cs="Times New Roman"/>
      </w:rPr>
      <w:tblPr/>
      <w:tcPr>
        <w:shd w:val="clear" w:color="auto" w:fill="FFFFFF"/>
      </w:tcPr>
    </w:tblStylePr>
  </w:style>
  <w:style w:type="paragraph" w:styleId="TOC5">
    <w:name w:val="toc 5"/>
    <w:basedOn w:val="Normal"/>
    <w:next w:val="Normal"/>
    <w:autoRedefine/>
    <w:uiPriority w:val="99"/>
    <w:rsid w:val="00210E5E"/>
    <w:pPr>
      <w:spacing w:after="100"/>
      <w:ind w:left="960"/>
    </w:pPr>
  </w:style>
  <w:style w:type="character" w:styleId="FootnoteReference">
    <w:name w:val="footnote reference"/>
    <w:uiPriority w:val="99"/>
    <w:rsid w:val="00E421C0"/>
    <w:rPr>
      <w:rFonts w:ascii="Arial" w:hAnsi="Arial" w:cs="Times New Roman"/>
      <w:sz w:val="16"/>
      <w:vertAlign w:val="superscript"/>
    </w:rPr>
  </w:style>
  <w:style w:type="paragraph" w:styleId="FootnoteText">
    <w:name w:val="footnote text"/>
    <w:basedOn w:val="Normal"/>
    <w:link w:val="FootnoteTextChar"/>
    <w:uiPriority w:val="99"/>
    <w:rsid w:val="00E421C0"/>
    <w:rPr>
      <w:sz w:val="16"/>
      <w:szCs w:val="20"/>
    </w:rPr>
  </w:style>
  <w:style w:type="character" w:customStyle="1" w:styleId="FootnoteTextChar">
    <w:name w:val="Footnote Text Char"/>
    <w:link w:val="FootnoteText"/>
    <w:uiPriority w:val="99"/>
    <w:locked/>
    <w:rsid w:val="00E421C0"/>
    <w:rPr>
      <w:rFonts w:ascii="Arial" w:hAnsi="Arial" w:cs="Times New Roman"/>
      <w:sz w:val="16"/>
    </w:rPr>
  </w:style>
  <w:style w:type="paragraph" w:customStyle="1" w:styleId="Highlight3">
    <w:name w:val="Highlight 3"/>
    <w:basedOn w:val="Highlight2"/>
    <w:uiPriority w:val="99"/>
    <w:rsid w:val="00146657"/>
    <w:rPr>
      <w:color w:val="00A1DE"/>
    </w:rPr>
  </w:style>
  <w:style w:type="paragraph" w:styleId="TOCHeading">
    <w:name w:val="TOC Heading"/>
    <w:basedOn w:val="Heading1"/>
    <w:next w:val="Normal"/>
    <w:uiPriority w:val="99"/>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NormalWeb">
    <w:name w:val="Normal (Web)"/>
    <w:basedOn w:val="Normal"/>
    <w:uiPriority w:val="99"/>
    <w:rsid w:val="00317508"/>
    <w:pPr>
      <w:spacing w:before="100" w:beforeAutospacing="1" w:after="100" w:afterAutospacing="1"/>
    </w:pPr>
    <w:rPr>
      <w:rFonts w:ascii="Times New Roman" w:hAnsi="Times New Roman"/>
      <w:color w:val="000000"/>
      <w:sz w:val="24"/>
    </w:rPr>
  </w:style>
  <w:style w:type="character" w:styleId="CommentReference">
    <w:name w:val="annotation reference"/>
    <w:uiPriority w:val="99"/>
    <w:rsid w:val="004344F8"/>
    <w:rPr>
      <w:rFonts w:cs="Times New Roman"/>
      <w:sz w:val="16"/>
      <w:szCs w:val="16"/>
    </w:rPr>
  </w:style>
  <w:style w:type="paragraph" w:styleId="CommentText">
    <w:name w:val="annotation text"/>
    <w:basedOn w:val="Normal"/>
    <w:link w:val="CommentTextChar"/>
    <w:uiPriority w:val="99"/>
    <w:rsid w:val="004344F8"/>
    <w:rPr>
      <w:sz w:val="20"/>
      <w:szCs w:val="20"/>
    </w:rPr>
  </w:style>
  <w:style w:type="character" w:customStyle="1" w:styleId="CommentTextChar">
    <w:name w:val="Comment Text Char"/>
    <w:link w:val="CommentText"/>
    <w:uiPriority w:val="99"/>
    <w:locked/>
    <w:rsid w:val="004344F8"/>
    <w:rPr>
      <w:rFonts w:ascii="Arial" w:hAnsi="Arial" w:cs="Times New Roman"/>
    </w:rPr>
  </w:style>
  <w:style w:type="paragraph" w:styleId="CommentSubject">
    <w:name w:val="annotation subject"/>
    <w:basedOn w:val="CommentText"/>
    <w:next w:val="CommentText"/>
    <w:link w:val="CommentSubjectChar"/>
    <w:uiPriority w:val="99"/>
    <w:rsid w:val="004344F8"/>
    <w:rPr>
      <w:b/>
      <w:bCs/>
    </w:rPr>
  </w:style>
  <w:style w:type="character" w:customStyle="1" w:styleId="CommentSubjectChar">
    <w:name w:val="Comment Subject Char"/>
    <w:link w:val="CommentSubject"/>
    <w:uiPriority w:val="99"/>
    <w:locked/>
    <w:rsid w:val="004344F8"/>
    <w:rPr>
      <w:rFonts w:ascii="Arial" w:hAnsi="Arial" w:cs="Times New Roman"/>
      <w:b/>
      <w:bCs/>
    </w:rPr>
  </w:style>
  <w:style w:type="paragraph" w:styleId="ListParagraph">
    <w:name w:val="List Paragraph"/>
    <w:basedOn w:val="Normal"/>
    <w:uiPriority w:val="99"/>
    <w:qFormat/>
    <w:rsid w:val="000D0EEE"/>
    <w:pPr>
      <w:ind w:left="720"/>
      <w:contextualSpacing/>
    </w:pPr>
  </w:style>
  <w:style w:type="paragraph" w:customStyle="1" w:styleId="DTReportList">
    <w:name w:val="DT Report List"/>
    <w:basedOn w:val="Normal"/>
    <w:uiPriority w:val="99"/>
    <w:rsid w:val="00D459D5"/>
    <w:pPr>
      <w:spacing w:after="120"/>
    </w:pPr>
    <w:rPr>
      <w:rFonts w:cs="Arial"/>
      <w:sz w:val="20"/>
      <w:szCs w:val="20"/>
    </w:rPr>
  </w:style>
  <w:style w:type="paragraph" w:styleId="Revision">
    <w:name w:val="Revision"/>
    <w:hidden/>
    <w:uiPriority w:val="99"/>
    <w:semiHidden/>
    <w:rsid w:val="00901564"/>
    <w:rPr>
      <w:rFonts w:ascii="Arial" w:hAnsi="Arial"/>
      <w:sz w:val="19"/>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35321"/>
    <w:rPr>
      <w:rFonts w:ascii="Arial" w:hAnsi="Arial"/>
      <w:sz w:val="19"/>
      <w:szCs w:val="24"/>
      <w:lang w:val="en-US" w:eastAsia="en-US"/>
    </w:rPr>
  </w:style>
  <w:style w:type="paragraph" w:styleId="Heading1">
    <w:name w:val="heading 1"/>
    <w:basedOn w:val="Normal"/>
    <w:next w:val="Heading2"/>
    <w:link w:val="Heading1Char"/>
    <w:uiPriority w:val="99"/>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Heading2">
    <w:name w:val="heading 2"/>
    <w:basedOn w:val="Heading1"/>
    <w:next w:val="Heading3"/>
    <w:link w:val="Heading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Heading3">
    <w:name w:val="heading 3"/>
    <w:basedOn w:val="Heading2"/>
    <w:next w:val="Normal"/>
    <w:link w:val="Heading3Char"/>
    <w:uiPriority w:val="99"/>
    <w:qFormat/>
    <w:rsid w:val="00E421C0"/>
    <w:pPr>
      <w:numPr>
        <w:ilvl w:val="2"/>
      </w:numPr>
      <w:outlineLvl w:val="2"/>
    </w:pPr>
    <w:rPr>
      <w:bCs/>
      <w:color w:val="3C8A2E"/>
      <w:szCs w:val="26"/>
    </w:rPr>
  </w:style>
  <w:style w:type="paragraph" w:styleId="Heading4">
    <w:name w:val="heading 4"/>
    <w:basedOn w:val="Normal"/>
    <w:next w:val="Normal"/>
    <w:link w:val="Heading4Char"/>
    <w:uiPriority w:val="99"/>
    <w:qFormat/>
    <w:rsid w:val="0008794A"/>
    <w:pPr>
      <w:keepNext/>
      <w:keepLines/>
      <w:numPr>
        <w:ilvl w:val="3"/>
        <w:numId w:val="5"/>
      </w:numPr>
      <w:spacing w:before="240" w:after="240"/>
      <w:outlineLvl w:val="3"/>
    </w:pPr>
    <w:rPr>
      <w:b/>
      <w:bCs/>
      <w:iCs/>
      <w:sz w:val="24"/>
    </w:rPr>
  </w:style>
  <w:style w:type="paragraph" w:styleId="Heading5">
    <w:name w:val="heading 5"/>
    <w:basedOn w:val="Normal"/>
    <w:next w:val="Normal"/>
    <w:link w:val="Heading5Char"/>
    <w:uiPriority w:val="99"/>
    <w:qFormat/>
    <w:rsid w:val="0008794A"/>
    <w:pPr>
      <w:keepNext/>
      <w:keepLines/>
      <w:numPr>
        <w:ilvl w:val="4"/>
        <w:numId w:val="5"/>
      </w:numPr>
      <w:spacing w:before="240" w:after="240"/>
      <w:outlineLvl w:val="4"/>
    </w:pPr>
    <w:rPr>
      <w:b/>
      <w:i/>
      <w:color w:val="00133A"/>
      <w:sz w:val="24"/>
    </w:rPr>
  </w:style>
  <w:style w:type="paragraph" w:styleId="Heading6">
    <w:name w:val="heading 6"/>
    <w:basedOn w:val="Normal"/>
    <w:next w:val="Normal"/>
    <w:link w:val="Heading6Char"/>
    <w:uiPriority w:val="99"/>
    <w:qFormat/>
    <w:rsid w:val="0008794A"/>
    <w:pPr>
      <w:keepNext/>
      <w:keepLines/>
      <w:numPr>
        <w:ilvl w:val="5"/>
        <w:numId w:val="5"/>
      </w:numPr>
      <w:spacing w:before="240" w:after="240"/>
      <w:ind w:left="1418" w:hanging="1418"/>
      <w:outlineLvl w:val="5"/>
    </w:pPr>
    <w:rPr>
      <w:i/>
      <w:iCs/>
      <w:color w:val="00133A"/>
      <w:sz w:val="24"/>
    </w:rPr>
  </w:style>
  <w:style w:type="paragraph" w:styleId="Heading7">
    <w:name w:val="heading 7"/>
    <w:basedOn w:val="Normal"/>
    <w:next w:val="Normal"/>
    <w:link w:val="Heading7Char"/>
    <w:uiPriority w:val="99"/>
    <w:qFormat/>
    <w:rsid w:val="00E421C0"/>
    <w:pPr>
      <w:keepNext/>
      <w:keepLines/>
      <w:numPr>
        <w:ilvl w:val="6"/>
        <w:numId w:val="5"/>
      </w:numPr>
      <w:spacing w:before="240" w:after="240"/>
      <w:ind w:left="1576" w:hanging="1576"/>
      <w:outlineLvl w:val="6"/>
    </w:pPr>
    <w:rPr>
      <w:i/>
      <w:iCs/>
      <w:color w:val="404040"/>
      <w:sz w:val="22"/>
    </w:rPr>
  </w:style>
  <w:style w:type="paragraph" w:styleId="Heading8">
    <w:name w:val="heading 8"/>
    <w:basedOn w:val="Normal"/>
    <w:next w:val="Normal"/>
    <w:link w:val="Heading8Char"/>
    <w:uiPriority w:val="99"/>
    <w:qFormat/>
    <w:rsid w:val="00E421C0"/>
    <w:pPr>
      <w:keepNext/>
      <w:keepLines/>
      <w:numPr>
        <w:ilvl w:val="7"/>
        <w:numId w:val="5"/>
      </w:numPr>
      <w:spacing w:before="240" w:after="240"/>
      <w:ind w:left="1701" w:hanging="1701"/>
      <w:outlineLvl w:val="7"/>
    </w:pPr>
    <w:rPr>
      <w:i/>
      <w:color w:val="404040"/>
      <w:sz w:val="20"/>
      <w:szCs w:val="20"/>
    </w:rPr>
  </w:style>
  <w:style w:type="paragraph" w:styleId="Heading9">
    <w:name w:val="heading 9"/>
    <w:basedOn w:val="Normal"/>
    <w:next w:val="Normal"/>
    <w:link w:val="Heading9Char"/>
    <w:uiPriority w:val="99"/>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84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FE5840"/>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9"/>
    <w:locked/>
    <w:rsid w:val="00317508"/>
    <w:rPr>
      <w:rFonts w:ascii="Arial" w:hAnsi="Arial" w:cs="Arial"/>
      <w:b/>
      <w:bCs/>
      <w:iCs/>
      <w:color w:val="3C8A2E"/>
      <w:kern w:val="32"/>
      <w:sz w:val="26"/>
      <w:szCs w:val="26"/>
    </w:rPr>
  </w:style>
  <w:style w:type="character" w:customStyle="1" w:styleId="Heading4Char">
    <w:name w:val="Heading 4 Char"/>
    <w:link w:val="Heading4"/>
    <w:uiPriority w:val="99"/>
    <w:locked/>
    <w:rsid w:val="0008794A"/>
    <w:rPr>
      <w:rFonts w:ascii="Arial" w:hAnsi="Arial" w:cs="Times New Roman"/>
      <w:b/>
      <w:bCs/>
      <w:iCs/>
      <w:sz w:val="24"/>
      <w:szCs w:val="24"/>
    </w:rPr>
  </w:style>
  <w:style w:type="character" w:customStyle="1" w:styleId="Heading5Char">
    <w:name w:val="Heading 5 Char"/>
    <w:link w:val="Heading5"/>
    <w:uiPriority w:val="99"/>
    <w:locked/>
    <w:rsid w:val="0008794A"/>
    <w:rPr>
      <w:rFonts w:ascii="Arial" w:hAnsi="Arial" w:cs="Times New Roman"/>
      <w:b/>
      <w:i/>
      <w:color w:val="00133A"/>
      <w:sz w:val="24"/>
      <w:szCs w:val="24"/>
    </w:rPr>
  </w:style>
  <w:style w:type="character" w:customStyle="1" w:styleId="Heading6Char">
    <w:name w:val="Heading 6 Char"/>
    <w:link w:val="Heading6"/>
    <w:uiPriority w:val="99"/>
    <w:locked/>
    <w:rsid w:val="0008794A"/>
    <w:rPr>
      <w:rFonts w:ascii="Arial" w:hAnsi="Arial" w:cs="Times New Roman"/>
      <w:i/>
      <w:iCs/>
      <w:color w:val="00133A"/>
      <w:sz w:val="24"/>
      <w:szCs w:val="24"/>
    </w:rPr>
  </w:style>
  <w:style w:type="character" w:customStyle="1" w:styleId="Heading7Char">
    <w:name w:val="Heading 7 Char"/>
    <w:link w:val="Heading7"/>
    <w:uiPriority w:val="99"/>
    <w:locked/>
    <w:rsid w:val="00E421C0"/>
    <w:rPr>
      <w:rFonts w:ascii="Arial" w:hAnsi="Arial" w:cs="Times New Roman"/>
      <w:i/>
      <w:iCs/>
      <w:color w:val="404040"/>
      <w:sz w:val="24"/>
      <w:szCs w:val="24"/>
    </w:rPr>
  </w:style>
  <w:style w:type="character" w:customStyle="1" w:styleId="Heading8Char">
    <w:name w:val="Heading 8 Char"/>
    <w:link w:val="Heading8"/>
    <w:uiPriority w:val="99"/>
    <w:semiHidden/>
    <w:locked/>
    <w:rsid w:val="00E421C0"/>
    <w:rPr>
      <w:rFonts w:ascii="Arial" w:hAnsi="Arial" w:cs="Times New Roman"/>
      <w:i/>
      <w:color w:val="404040"/>
    </w:rPr>
  </w:style>
  <w:style w:type="character" w:customStyle="1" w:styleId="Heading9Char">
    <w:name w:val="Heading 9 Char"/>
    <w:link w:val="Heading9"/>
    <w:uiPriority w:val="99"/>
    <w:semiHidden/>
    <w:locked/>
    <w:rsid w:val="00E421C0"/>
    <w:rPr>
      <w:rFonts w:ascii="Arial" w:hAnsi="Arial" w:cs="Times New Roman"/>
      <w:i/>
      <w:iCs/>
      <w:color w:val="404040"/>
      <w:sz w:val="18"/>
    </w:rPr>
  </w:style>
  <w:style w:type="table" w:styleId="TableGrid">
    <w:name w:val="Table Grid"/>
    <w:aliases w:val="Deloitte table 3"/>
    <w:basedOn w:val="TableNormal"/>
    <w:uiPriority w:val="9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cs="Times New Roman"/>
        <w:b/>
        <w:color w:val="FFFFFF"/>
        <w:sz w:val="19"/>
      </w:rPr>
      <w:tblPr/>
      <w:tcPr>
        <w:shd w:val="clear" w:color="auto" w:fill="72C7E7"/>
      </w:tcPr>
    </w:tblStylePr>
    <w:tblStylePr w:type="firstCol">
      <w:rPr>
        <w:rFonts w:ascii="Arial" w:hAnsi="Arial" w:cs="Times New Roman"/>
        <w:sz w:val="19"/>
      </w:rPr>
    </w:tblStylePr>
  </w:style>
  <w:style w:type="paragraph" w:styleId="Header">
    <w:name w:val="header"/>
    <w:basedOn w:val="Normal"/>
    <w:link w:val="HeaderChar"/>
    <w:uiPriority w:val="99"/>
    <w:rsid w:val="00E421C0"/>
    <w:pPr>
      <w:tabs>
        <w:tab w:val="center" w:pos="4703"/>
        <w:tab w:val="right" w:pos="9406"/>
      </w:tabs>
    </w:pPr>
    <w:rPr>
      <w:sz w:val="16"/>
    </w:rPr>
  </w:style>
  <w:style w:type="character" w:customStyle="1" w:styleId="HeaderChar">
    <w:name w:val="Header Char"/>
    <w:link w:val="Header"/>
    <w:uiPriority w:val="99"/>
    <w:locked/>
    <w:rsid w:val="00E421C0"/>
    <w:rPr>
      <w:rFonts w:ascii="Arial" w:hAnsi="Arial" w:cs="Times New Roman"/>
      <w:sz w:val="24"/>
      <w:szCs w:val="24"/>
    </w:rPr>
  </w:style>
  <w:style w:type="paragraph" w:styleId="Footer">
    <w:name w:val="footer"/>
    <w:basedOn w:val="Normal"/>
    <w:link w:val="FooterChar"/>
    <w:uiPriority w:val="99"/>
    <w:rsid w:val="006F71E5"/>
    <w:pPr>
      <w:tabs>
        <w:tab w:val="center" w:pos="4703"/>
        <w:tab w:val="right" w:pos="9406"/>
      </w:tabs>
    </w:pPr>
    <w:rPr>
      <w:sz w:val="16"/>
    </w:rPr>
  </w:style>
  <w:style w:type="character" w:customStyle="1" w:styleId="FooterChar">
    <w:name w:val="Footer Char"/>
    <w:link w:val="Footer"/>
    <w:uiPriority w:val="99"/>
    <w:locked/>
    <w:rsid w:val="006F71E5"/>
    <w:rPr>
      <w:rFonts w:ascii="Arial" w:hAnsi="Arial" w:cs="Times New Roman"/>
      <w:sz w:val="24"/>
      <w:szCs w:val="24"/>
    </w:rPr>
  </w:style>
  <w:style w:type="character" w:styleId="PageNumber">
    <w:name w:val="page number"/>
    <w:uiPriority w:val="99"/>
    <w:rsid w:val="00E421C0"/>
    <w:rPr>
      <w:rFonts w:ascii="Arial" w:hAnsi="Arial" w:cs="Times New Roman"/>
      <w:sz w:val="16"/>
    </w:rPr>
  </w:style>
  <w:style w:type="paragraph" w:styleId="TOC1">
    <w:name w:val="toc 1"/>
    <w:basedOn w:val="Normal"/>
    <w:next w:val="Normal"/>
    <w:autoRedefine/>
    <w:uiPriority w:val="99"/>
    <w:rsid w:val="0008794A"/>
    <w:pPr>
      <w:spacing w:after="240"/>
    </w:pPr>
    <w:rPr>
      <w:sz w:val="24"/>
    </w:rPr>
  </w:style>
  <w:style w:type="paragraph" w:styleId="TOC2">
    <w:name w:val="toc 2"/>
    <w:basedOn w:val="Normal"/>
    <w:next w:val="Normal"/>
    <w:autoRedefine/>
    <w:uiPriority w:val="99"/>
    <w:rsid w:val="0008794A"/>
    <w:pPr>
      <w:spacing w:after="240"/>
      <w:ind w:left="238"/>
    </w:pPr>
    <w:rPr>
      <w:sz w:val="24"/>
    </w:rPr>
  </w:style>
  <w:style w:type="paragraph" w:styleId="TOC3">
    <w:name w:val="toc 3"/>
    <w:basedOn w:val="Normal"/>
    <w:next w:val="Normal"/>
    <w:autoRedefine/>
    <w:uiPriority w:val="99"/>
    <w:rsid w:val="0008794A"/>
    <w:pPr>
      <w:spacing w:after="240"/>
      <w:ind w:left="482"/>
    </w:pPr>
    <w:rPr>
      <w:sz w:val="24"/>
    </w:rPr>
  </w:style>
  <w:style w:type="character" w:styleId="Hyperlink">
    <w:name w:val="Hyperlink"/>
    <w:uiPriority w:val="99"/>
    <w:rsid w:val="006F71E5"/>
    <w:rPr>
      <w:rFonts w:ascii="Arial" w:hAnsi="Arial" w:cs="Times New Roman"/>
      <w:color w:val="00A1DE"/>
      <w:sz w:val="19"/>
      <w:u w:val="single"/>
    </w:rPr>
  </w:style>
  <w:style w:type="paragraph" w:styleId="BalloonText">
    <w:name w:val="Balloon Text"/>
    <w:basedOn w:val="Normal"/>
    <w:link w:val="BalloonTextChar"/>
    <w:uiPriority w:val="99"/>
    <w:semiHidden/>
    <w:rsid w:val="00392FE4"/>
    <w:rPr>
      <w:rFonts w:ascii="Tahoma" w:hAnsi="Tahoma" w:cs="Tahoma"/>
      <w:sz w:val="16"/>
      <w:szCs w:val="16"/>
    </w:rPr>
  </w:style>
  <w:style w:type="character" w:customStyle="1" w:styleId="BalloonTextChar">
    <w:name w:val="Balloon Text Char"/>
    <w:link w:val="BalloonText"/>
    <w:uiPriority w:val="99"/>
    <w:semiHidden/>
    <w:rsid w:val="00FE5840"/>
    <w:rPr>
      <w:sz w:val="0"/>
      <w:szCs w:val="0"/>
      <w:lang w:val="en-US" w:eastAsia="en-US"/>
    </w:rPr>
  </w:style>
  <w:style w:type="paragraph" w:customStyle="1" w:styleId="BodyText1">
    <w:name w:val="Body Text1"/>
    <w:uiPriority w:val="99"/>
    <w:rsid w:val="00E42491"/>
    <w:rPr>
      <w:rFonts w:ascii="Arial" w:hAnsi="Arial"/>
      <w:color w:val="000000"/>
      <w:sz w:val="19"/>
      <w:szCs w:val="48"/>
      <w:lang w:eastAsia="en-US"/>
    </w:rPr>
  </w:style>
  <w:style w:type="paragraph" w:customStyle="1" w:styleId="Legalentity">
    <w:name w:val="Legal entity"/>
    <w:basedOn w:val="Normal"/>
    <w:uiPriority w:val="99"/>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uiPriority w:val="99"/>
    <w:rsid w:val="00900826"/>
    <w:pPr>
      <w:numPr>
        <w:numId w:val="33"/>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CaptionIntroductionparagraph">
    <w:name w:val="Caption Introduction paragraph"/>
    <w:uiPriority w:val="99"/>
    <w:rsid w:val="007F11EE"/>
    <w:rPr>
      <w:rFonts w:ascii="Arial" w:hAnsi="Arial"/>
      <w:b/>
      <w:color w:val="00A1DE"/>
      <w:sz w:val="24"/>
      <w:szCs w:val="22"/>
      <w:lang w:eastAsia="en-US"/>
    </w:rPr>
  </w:style>
  <w:style w:type="paragraph" w:customStyle="1" w:styleId="smlouvaheading2">
    <w:name w:val="smlouva heading 2"/>
    <w:basedOn w:val="CaptionIntroductionparagraph"/>
    <w:next w:val="BodyText1"/>
    <w:uiPriority w:val="99"/>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uiPriority w:val="99"/>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uiPriority w:val="99"/>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uiPriority w:val="99"/>
    <w:rsid w:val="00900826"/>
    <w:pPr>
      <w:numPr>
        <w:ilvl w:val="0"/>
        <w:numId w:val="0"/>
      </w:numPr>
    </w:pPr>
    <w:rPr>
      <w:b/>
    </w:rPr>
  </w:style>
  <w:style w:type="paragraph" w:customStyle="1" w:styleId="Bodytextbold">
    <w:name w:val="Body text bold"/>
    <w:basedOn w:val="smlouvabodytextbold"/>
    <w:next w:val="BodyText1"/>
    <w:uiPriority w:val="99"/>
    <w:rsid w:val="00075C1E"/>
    <w:pPr>
      <w:tabs>
        <w:tab w:val="clear" w:pos="1021"/>
        <w:tab w:val="left" w:pos="1134"/>
      </w:tabs>
    </w:pPr>
    <w:rPr>
      <w:color w:val="000000"/>
    </w:rPr>
  </w:style>
  <w:style w:type="character" w:customStyle="1" w:styleId="CaptionbodyChar">
    <w:name w:val="Caption body Char"/>
    <w:link w:val="Captionbody"/>
    <w:uiPriority w:val="99"/>
    <w:locked/>
    <w:rsid w:val="005B4CAD"/>
    <w:rPr>
      <w:rFonts w:ascii="Arial" w:hAnsi="Arial" w:cs="Times New Roman"/>
      <w:color w:val="000000"/>
      <w:sz w:val="18"/>
      <w:lang w:val="en-US" w:eastAsia="en-US" w:bidi="ar-SA"/>
    </w:rPr>
  </w:style>
  <w:style w:type="paragraph" w:customStyle="1" w:styleId="Captionbody">
    <w:name w:val="Caption body"/>
    <w:link w:val="CaptionbodyChar"/>
    <w:uiPriority w:val="99"/>
    <w:rsid w:val="005B4CAD"/>
    <w:rPr>
      <w:rFonts w:ascii="Arial" w:hAnsi="Arial"/>
      <w:color w:val="000000"/>
      <w:sz w:val="18"/>
      <w:lang w:val="en-US" w:eastAsia="en-US"/>
    </w:rPr>
  </w:style>
  <w:style w:type="paragraph" w:customStyle="1" w:styleId="Captionheading">
    <w:name w:val="Caption heading"/>
    <w:basedOn w:val="Captionbody"/>
    <w:uiPriority w:val="99"/>
    <w:rsid w:val="005B4CAD"/>
    <w:rPr>
      <w:b/>
    </w:rPr>
  </w:style>
  <w:style w:type="paragraph" w:customStyle="1" w:styleId="smlouvabodytext">
    <w:name w:val="smlouva body text"/>
    <w:basedOn w:val="Normal"/>
    <w:uiPriority w:val="99"/>
    <w:rsid w:val="00900826"/>
    <w:pPr>
      <w:spacing w:before="120"/>
      <w:jc w:val="both"/>
    </w:pPr>
    <w:rPr>
      <w:noProof/>
    </w:rPr>
  </w:style>
  <w:style w:type="paragraph" w:customStyle="1" w:styleId="Bulletslevel1">
    <w:name w:val="Bullets level 1"/>
    <w:basedOn w:val="Normal"/>
    <w:link w:val="Bulletslevel1Char"/>
    <w:uiPriority w:val="99"/>
    <w:rsid w:val="00075C1E"/>
    <w:pPr>
      <w:numPr>
        <w:numId w:val="4"/>
      </w:numPr>
      <w:spacing w:before="120"/>
      <w:ind w:left="360"/>
    </w:pPr>
    <w:rPr>
      <w:color w:val="000000"/>
      <w:szCs w:val="20"/>
      <w:lang w:val="en-GB"/>
    </w:rPr>
  </w:style>
  <w:style w:type="character" w:customStyle="1" w:styleId="Bulletslevel1Char">
    <w:name w:val="Bullets level 1 Char"/>
    <w:link w:val="Bulletslevel1"/>
    <w:uiPriority w:val="99"/>
    <w:locked/>
    <w:rsid w:val="001C2EF4"/>
    <w:rPr>
      <w:rFonts w:ascii="Arial" w:eastAsia="Times New Roman" w:hAnsi="Arial" w:cs="Times New Roman"/>
      <w:color w:val="000000"/>
      <w:sz w:val="19"/>
      <w:lang w:val="en-GB"/>
    </w:rPr>
  </w:style>
  <w:style w:type="paragraph" w:customStyle="1" w:styleId="Bulletslevel2">
    <w:name w:val="Bullets level 2"/>
    <w:basedOn w:val="Normal"/>
    <w:link w:val="Bulletslevel2Char"/>
    <w:uiPriority w:val="99"/>
    <w:rsid w:val="00DC6C4A"/>
    <w:pPr>
      <w:numPr>
        <w:numId w:val="18"/>
      </w:numPr>
      <w:tabs>
        <w:tab w:val="left" w:pos="567"/>
      </w:tabs>
      <w:spacing w:before="120"/>
    </w:pPr>
    <w:rPr>
      <w:color w:val="000000"/>
      <w:szCs w:val="20"/>
      <w:lang w:val="en-GB"/>
    </w:rPr>
  </w:style>
  <w:style w:type="character" w:customStyle="1" w:styleId="Bulletslevel2Char">
    <w:name w:val="Bullets level 2 Char"/>
    <w:link w:val="Bulletslevel2"/>
    <w:uiPriority w:val="99"/>
    <w:locked/>
    <w:rsid w:val="00DC6C4A"/>
    <w:rPr>
      <w:rFonts w:ascii="Arial" w:eastAsia="Times New Roman" w:hAnsi="Arial" w:cs="Times New Roman"/>
      <w:color w:val="000000"/>
      <w:sz w:val="19"/>
      <w:lang w:val="en-GB"/>
    </w:rPr>
  </w:style>
  <w:style w:type="paragraph" w:customStyle="1" w:styleId="PulloutQuote">
    <w:name w:val="Pullout Quote"/>
    <w:uiPriority w:val="99"/>
    <w:rsid w:val="00095956"/>
    <w:pPr>
      <w:pBdr>
        <w:top w:val="single" w:sz="4" w:space="4" w:color="00A1DE"/>
      </w:pBdr>
      <w:suppressAutoHyphens/>
      <w:spacing w:line="320" w:lineRule="exact"/>
    </w:pPr>
    <w:rPr>
      <w:color w:val="00A1DE"/>
      <w:sz w:val="32"/>
      <w:lang w:val="en-GB" w:eastAsia="en-US"/>
    </w:rPr>
  </w:style>
  <w:style w:type="paragraph" w:customStyle="1" w:styleId="Highlight1">
    <w:name w:val="Highlight 1"/>
    <w:basedOn w:val="Normal"/>
    <w:uiPriority w:val="99"/>
    <w:rsid w:val="00146657"/>
    <w:rPr>
      <w:b/>
      <w:color w:val="3C8A2E"/>
      <w:sz w:val="20"/>
      <w:szCs w:val="16"/>
      <w:lang w:val="cs-CZ"/>
    </w:rPr>
  </w:style>
  <w:style w:type="paragraph" w:customStyle="1" w:styleId="Highlight2">
    <w:name w:val="Highlight 2"/>
    <w:basedOn w:val="Highlight1"/>
    <w:uiPriority w:val="99"/>
    <w:rsid w:val="00146657"/>
    <w:rPr>
      <w:color w:val="92D400"/>
    </w:rPr>
  </w:style>
  <w:style w:type="table" w:customStyle="1" w:styleId="Deloittetable1">
    <w:name w:val="Deloitte table 1"/>
    <w:uiPriority w:val="99"/>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paragraph" w:styleId="TOC4">
    <w:name w:val="toc 4"/>
    <w:basedOn w:val="Normal"/>
    <w:next w:val="Normal"/>
    <w:autoRedefine/>
    <w:uiPriority w:val="99"/>
    <w:rsid w:val="00CB0293"/>
    <w:pPr>
      <w:spacing w:after="240"/>
      <w:ind w:left="720"/>
    </w:pPr>
  </w:style>
  <w:style w:type="table" w:customStyle="1" w:styleId="Deloittetable2">
    <w:name w:val="Deloitte table 2"/>
    <w:uiPriority w:val="99"/>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le3Deffects1">
    <w:name w:val="Table 3D effects 1"/>
    <w:basedOn w:val="TableNormal"/>
    <w:uiPriority w:val="99"/>
    <w:rsid w:val="00CE00B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uiPriority w:val="99"/>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style>
  <w:style w:type="table" w:customStyle="1" w:styleId="Deloittetable5">
    <w:name w:val="Deloitte table 5"/>
    <w:uiPriority w:val="99"/>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Style1">
    <w:name w:val="Style1"/>
    <w:uiPriority w:val="99"/>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uiPriority w:val="99"/>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style>
  <w:style w:type="table" w:customStyle="1" w:styleId="Deloittetable7">
    <w:name w:val="Deloitte table 7"/>
    <w:uiPriority w:val="99"/>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style>
  <w:style w:type="table" w:styleId="Table3Deffects3">
    <w:name w:val="Table 3D effects 3"/>
    <w:basedOn w:val="TableNormal"/>
    <w:uiPriority w:val="99"/>
    <w:rsid w:val="00CE00B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Deloittetable8">
    <w:name w:val="Deloitte table 8"/>
    <w:uiPriority w:val="99"/>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style>
  <w:style w:type="table" w:customStyle="1" w:styleId="Deloittetable81">
    <w:name w:val="Deloitte table 8.1"/>
    <w:uiPriority w:val="99"/>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tcPr>
  </w:style>
  <w:style w:type="table" w:customStyle="1" w:styleId="Deloittetable82">
    <w:name w:val="Deloitte table 8.2"/>
    <w:uiPriority w:val="99"/>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customStyle="1" w:styleId="Deloittetable83">
    <w:name w:val="Deloitte table 8.3"/>
    <w:uiPriority w:val="99"/>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style>
  <w:style w:type="table" w:customStyle="1" w:styleId="Deloittetable84">
    <w:name w:val="Deloitte table 8.4"/>
    <w:uiPriority w:val="99"/>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style>
  <w:style w:type="table" w:customStyle="1" w:styleId="Deloittetable85">
    <w:name w:val="Deloitte table 8.5"/>
    <w:uiPriority w:val="99"/>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style>
  <w:style w:type="table" w:customStyle="1" w:styleId="Deloittetable86">
    <w:name w:val="Deloitte table 8.6"/>
    <w:uiPriority w:val="99"/>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style>
  <w:style w:type="table" w:styleId="TableColumns3">
    <w:name w:val="Table Columns 3"/>
    <w:basedOn w:val="TableNormal"/>
    <w:uiPriority w:val="99"/>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ColorfulList-Accent4">
    <w:name w:val="Colorful List Accent 4"/>
    <w:basedOn w:val="TableNormal"/>
    <w:uiPriority w:val="99"/>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rFonts w:cs="Times New Roman"/>
        <w:b/>
        <w:bCs/>
        <w:color w:val="FFFFFF"/>
      </w:rPr>
      <w:tblPr/>
      <w:tcPr>
        <w:tcBorders>
          <w:bottom w:val="single" w:sz="12" w:space="0" w:color="FFFFFF"/>
        </w:tcBorders>
        <w:shd w:val="clear" w:color="auto" w:fill="007FB1"/>
      </w:tcPr>
    </w:tblStylePr>
    <w:tblStylePr w:type="lastRow">
      <w:rPr>
        <w:rFonts w:cs="Times New Roman"/>
        <w:b/>
        <w:bCs/>
        <w:color w:val="007FB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F1F9"/>
      </w:tcPr>
    </w:tblStylePr>
    <w:tblStylePr w:type="band1Horz">
      <w:rPr>
        <w:rFonts w:cs="Times New Roman"/>
      </w:rPr>
      <w:tblPr/>
      <w:tcPr>
        <w:shd w:val="clear" w:color="auto" w:fill="E2F3FA"/>
      </w:tcPr>
    </w:tblStylePr>
  </w:style>
  <w:style w:type="table" w:styleId="MediumGrid2-Accent4">
    <w:name w:val="Medium Grid 2 Accent 4"/>
    <w:basedOn w:val="TableNormal"/>
    <w:uiPriority w:val="99"/>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rFonts w:cs="Times New Roman"/>
        <w:b/>
        <w:bCs/>
        <w:color w:val="000000"/>
      </w:rPr>
      <w:tblPr/>
      <w:tcPr>
        <w:shd w:val="clear" w:color="auto" w:fill="F1F9F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F3FA"/>
      </w:tcPr>
    </w:tblStylePr>
    <w:tblStylePr w:type="band1Vert">
      <w:rPr>
        <w:rFonts w:cs="Times New Roman"/>
      </w:rPr>
      <w:tblPr/>
      <w:tcPr>
        <w:shd w:val="clear" w:color="auto" w:fill="B8E2F3"/>
      </w:tcPr>
    </w:tblStylePr>
    <w:tblStylePr w:type="band1Horz">
      <w:rPr>
        <w:rFonts w:cs="Times New Roman"/>
      </w:rPr>
      <w:tblPr/>
      <w:tcPr>
        <w:tcBorders>
          <w:insideH w:val="single" w:sz="6" w:space="0" w:color="72C7E7"/>
          <w:insideV w:val="single" w:sz="6" w:space="0" w:color="72C7E7"/>
        </w:tcBorders>
        <w:shd w:val="clear" w:color="auto" w:fill="B8E2F3"/>
      </w:tcPr>
    </w:tblStylePr>
    <w:tblStylePr w:type="nwCell">
      <w:rPr>
        <w:rFonts w:cs="Times New Roman"/>
      </w:rPr>
      <w:tblPr/>
      <w:tcPr>
        <w:shd w:val="clear" w:color="auto" w:fill="FFFFFF"/>
      </w:tcPr>
    </w:tblStylePr>
  </w:style>
  <w:style w:type="paragraph" w:styleId="TOC5">
    <w:name w:val="toc 5"/>
    <w:basedOn w:val="Normal"/>
    <w:next w:val="Normal"/>
    <w:autoRedefine/>
    <w:uiPriority w:val="99"/>
    <w:rsid w:val="00210E5E"/>
    <w:pPr>
      <w:spacing w:after="100"/>
      <w:ind w:left="960"/>
    </w:pPr>
  </w:style>
  <w:style w:type="character" w:styleId="FootnoteReference">
    <w:name w:val="footnote reference"/>
    <w:uiPriority w:val="99"/>
    <w:rsid w:val="00E421C0"/>
    <w:rPr>
      <w:rFonts w:ascii="Arial" w:hAnsi="Arial" w:cs="Times New Roman"/>
      <w:sz w:val="16"/>
      <w:vertAlign w:val="superscript"/>
    </w:rPr>
  </w:style>
  <w:style w:type="paragraph" w:styleId="FootnoteText">
    <w:name w:val="footnote text"/>
    <w:basedOn w:val="Normal"/>
    <w:link w:val="FootnoteTextChar"/>
    <w:uiPriority w:val="99"/>
    <w:rsid w:val="00E421C0"/>
    <w:rPr>
      <w:sz w:val="16"/>
      <w:szCs w:val="20"/>
    </w:rPr>
  </w:style>
  <w:style w:type="character" w:customStyle="1" w:styleId="FootnoteTextChar">
    <w:name w:val="Footnote Text Char"/>
    <w:link w:val="FootnoteText"/>
    <w:uiPriority w:val="99"/>
    <w:locked/>
    <w:rsid w:val="00E421C0"/>
    <w:rPr>
      <w:rFonts w:ascii="Arial" w:hAnsi="Arial" w:cs="Times New Roman"/>
      <w:sz w:val="16"/>
    </w:rPr>
  </w:style>
  <w:style w:type="paragraph" w:customStyle="1" w:styleId="Highlight3">
    <w:name w:val="Highlight 3"/>
    <w:basedOn w:val="Highlight2"/>
    <w:uiPriority w:val="99"/>
    <w:rsid w:val="00146657"/>
    <w:rPr>
      <w:color w:val="00A1DE"/>
    </w:rPr>
  </w:style>
  <w:style w:type="paragraph" w:styleId="TOCHeading">
    <w:name w:val="TOC Heading"/>
    <w:basedOn w:val="Heading1"/>
    <w:next w:val="Normal"/>
    <w:uiPriority w:val="99"/>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NormalWeb">
    <w:name w:val="Normal (Web)"/>
    <w:basedOn w:val="Normal"/>
    <w:uiPriority w:val="99"/>
    <w:rsid w:val="00317508"/>
    <w:pPr>
      <w:spacing w:before="100" w:beforeAutospacing="1" w:after="100" w:afterAutospacing="1"/>
    </w:pPr>
    <w:rPr>
      <w:rFonts w:ascii="Times New Roman" w:hAnsi="Times New Roman"/>
      <w:color w:val="000000"/>
      <w:sz w:val="24"/>
    </w:rPr>
  </w:style>
  <w:style w:type="character" w:styleId="CommentReference">
    <w:name w:val="annotation reference"/>
    <w:uiPriority w:val="99"/>
    <w:rsid w:val="004344F8"/>
    <w:rPr>
      <w:rFonts w:cs="Times New Roman"/>
      <w:sz w:val="16"/>
      <w:szCs w:val="16"/>
    </w:rPr>
  </w:style>
  <w:style w:type="paragraph" w:styleId="CommentText">
    <w:name w:val="annotation text"/>
    <w:basedOn w:val="Normal"/>
    <w:link w:val="CommentTextChar"/>
    <w:uiPriority w:val="99"/>
    <w:rsid w:val="004344F8"/>
    <w:rPr>
      <w:sz w:val="20"/>
      <w:szCs w:val="20"/>
    </w:rPr>
  </w:style>
  <w:style w:type="character" w:customStyle="1" w:styleId="CommentTextChar">
    <w:name w:val="Comment Text Char"/>
    <w:link w:val="CommentText"/>
    <w:uiPriority w:val="99"/>
    <w:locked/>
    <w:rsid w:val="004344F8"/>
    <w:rPr>
      <w:rFonts w:ascii="Arial" w:hAnsi="Arial" w:cs="Times New Roman"/>
    </w:rPr>
  </w:style>
  <w:style w:type="paragraph" w:styleId="CommentSubject">
    <w:name w:val="annotation subject"/>
    <w:basedOn w:val="CommentText"/>
    <w:next w:val="CommentText"/>
    <w:link w:val="CommentSubjectChar"/>
    <w:uiPriority w:val="99"/>
    <w:rsid w:val="004344F8"/>
    <w:rPr>
      <w:b/>
      <w:bCs/>
    </w:rPr>
  </w:style>
  <w:style w:type="character" w:customStyle="1" w:styleId="CommentSubjectChar">
    <w:name w:val="Comment Subject Char"/>
    <w:link w:val="CommentSubject"/>
    <w:uiPriority w:val="99"/>
    <w:locked/>
    <w:rsid w:val="004344F8"/>
    <w:rPr>
      <w:rFonts w:ascii="Arial" w:hAnsi="Arial" w:cs="Times New Roman"/>
      <w:b/>
      <w:bCs/>
    </w:rPr>
  </w:style>
  <w:style w:type="paragraph" w:styleId="ListParagraph">
    <w:name w:val="List Paragraph"/>
    <w:basedOn w:val="Normal"/>
    <w:uiPriority w:val="99"/>
    <w:qFormat/>
    <w:rsid w:val="000D0EEE"/>
    <w:pPr>
      <w:ind w:left="720"/>
      <w:contextualSpacing/>
    </w:pPr>
  </w:style>
  <w:style w:type="paragraph" w:customStyle="1" w:styleId="DTReportList">
    <w:name w:val="DT Report List"/>
    <w:basedOn w:val="Normal"/>
    <w:uiPriority w:val="99"/>
    <w:rsid w:val="00D459D5"/>
    <w:pPr>
      <w:spacing w:after="120"/>
    </w:pPr>
    <w:rPr>
      <w:rFonts w:cs="Arial"/>
      <w:sz w:val="20"/>
      <w:szCs w:val="20"/>
    </w:rPr>
  </w:style>
  <w:style w:type="paragraph" w:styleId="Revision">
    <w:name w:val="Revision"/>
    <w:hidden/>
    <w:uiPriority w:val="99"/>
    <w:semiHidden/>
    <w:rsid w:val="00901564"/>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8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A59FA16</Template>
  <TotalTime>3</TotalTime>
  <Pages>4</Pages>
  <Words>1652</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1</vt:lpstr>
      <vt:lpstr>1</vt:lpstr>
    </vt:vector>
  </TitlesOfParts>
  <Company>Deloitte Central Europe</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Jiri Fialka</dc:creator>
  <cp:lastModifiedBy>Zak, KZ (Kamil)</cp:lastModifiedBy>
  <cp:revision>2</cp:revision>
  <cp:lastPrinted>2013-08-13T09:11:00Z</cp:lastPrinted>
  <dcterms:created xsi:type="dcterms:W3CDTF">2014-01-23T12:26:00Z</dcterms:created>
  <dcterms:modified xsi:type="dcterms:W3CDTF">2014-01-23T12:26:00Z</dcterms:modified>
</cp:coreProperties>
</file>