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58" w:rsidRPr="00177158" w:rsidRDefault="00177158" w:rsidP="009D0F1F">
      <w:pPr>
        <w:pStyle w:val="Odstavecseseznamem"/>
        <w:numPr>
          <w:ilvl w:val="0"/>
          <w:numId w:val="3"/>
        </w:numPr>
        <w:spacing w:line="276" w:lineRule="auto"/>
        <w:ind w:left="357" w:hanging="357"/>
        <w:rPr>
          <w:rFonts w:ascii="Verdana" w:hAnsi="Verdana"/>
          <w:b/>
        </w:rPr>
      </w:pPr>
      <w:r w:rsidRPr="00177158">
        <w:rPr>
          <w:rFonts w:ascii="Verdana" w:hAnsi="Verdana"/>
          <w:b/>
        </w:rPr>
        <w:t>Úvod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Účelem této směrnice je poskytnout </w:t>
      </w:r>
      <w:proofErr w:type="spellStart"/>
      <w:r w:rsidRPr="00177158">
        <w:rPr>
          <w:rFonts w:ascii="Verdana" w:hAnsi="Verdana"/>
        </w:rPr>
        <w:t>aktuárům</w:t>
      </w:r>
      <w:proofErr w:type="spellEnd"/>
      <w:r w:rsidRPr="00177158">
        <w:rPr>
          <w:rFonts w:ascii="Verdana" w:hAnsi="Verdana"/>
        </w:rPr>
        <w:t xml:space="preserve"> postup pro posouzení, zda výše účetních technických rezerv je postačitelná ke splnění závazků pojišťovny vyplývajících ze smluv neživotního pojištění („postačitelnost“). Směrnice je aktualizací předchozí směrnice </w:t>
      </w:r>
      <w:proofErr w:type="spellStart"/>
      <w:r w:rsidRPr="00177158">
        <w:rPr>
          <w:rFonts w:ascii="Verdana" w:hAnsi="Verdana"/>
        </w:rPr>
        <w:t>ČSpA</w:t>
      </w:r>
      <w:proofErr w:type="spellEnd"/>
      <w:r w:rsidRPr="00177158">
        <w:rPr>
          <w:rFonts w:ascii="Verdana" w:hAnsi="Verdana"/>
        </w:rPr>
        <w:t xml:space="preserve"> </w:t>
      </w:r>
      <w:proofErr w:type="gramStart"/>
      <w:r w:rsidRPr="00177158">
        <w:rPr>
          <w:rFonts w:ascii="Verdana" w:hAnsi="Verdana"/>
        </w:rPr>
        <w:t>č.5, platné</w:t>
      </w:r>
      <w:proofErr w:type="gramEnd"/>
      <w:r w:rsidRPr="00177158">
        <w:rPr>
          <w:rFonts w:ascii="Verdana" w:hAnsi="Verdana"/>
        </w:rPr>
        <w:t xml:space="preserve"> od roku 2005. 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Směrnice je závazná pro plné členy České společnosti </w:t>
      </w:r>
      <w:proofErr w:type="spellStart"/>
      <w:r w:rsidRPr="00177158">
        <w:rPr>
          <w:rFonts w:ascii="Verdana" w:hAnsi="Verdana"/>
        </w:rPr>
        <w:t>aktuárů</w:t>
      </w:r>
      <w:proofErr w:type="spellEnd"/>
      <w:r w:rsidRPr="00177158">
        <w:rPr>
          <w:rFonts w:ascii="Verdana" w:hAnsi="Verdana"/>
        </w:rPr>
        <w:t xml:space="preserve"> (dále jen „</w:t>
      </w:r>
      <w:proofErr w:type="spellStart"/>
      <w:r w:rsidRPr="00177158">
        <w:rPr>
          <w:rFonts w:ascii="Verdana" w:hAnsi="Verdana"/>
        </w:rPr>
        <w:t>aktuáry</w:t>
      </w:r>
      <w:proofErr w:type="spellEnd"/>
      <w:r w:rsidRPr="00177158">
        <w:rPr>
          <w:rFonts w:ascii="Verdana" w:hAnsi="Verdana"/>
        </w:rPr>
        <w:t xml:space="preserve">“). </w:t>
      </w:r>
    </w:p>
    <w:p w:rsidR="00177158" w:rsidRPr="00177158" w:rsidRDefault="00177158" w:rsidP="009D0F1F">
      <w:pPr>
        <w:pStyle w:val="Odstavecseseznamem"/>
        <w:numPr>
          <w:ilvl w:val="0"/>
          <w:numId w:val="3"/>
        </w:numPr>
        <w:spacing w:line="276" w:lineRule="auto"/>
        <w:ind w:left="357" w:hanging="357"/>
        <w:rPr>
          <w:rFonts w:ascii="Verdana" w:hAnsi="Verdana"/>
          <w:b/>
        </w:rPr>
      </w:pPr>
      <w:r w:rsidRPr="00177158">
        <w:rPr>
          <w:rFonts w:ascii="Verdana" w:hAnsi="Verdana"/>
          <w:b/>
        </w:rPr>
        <w:t>Obecné principy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Směrnice respektuje požadavky na test postačitelnosti dle mezinárodního účetního standardu IFRS 4 pro pojistné smlouvy §15-19. Zároveň bere v úvahu požadavek vyhlášky [2] na dostatečnost výše technických rezerv a požadavek zákona o pojištění odpovědnosti za škodu způsobenou provozem vozidla. 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Směrnice vychází z, </w:t>
      </w:r>
      <w:r w:rsidRPr="00177158">
        <w:rPr>
          <w:rFonts w:ascii="Verdana" w:hAnsi="Verdana"/>
        </w:rPr>
        <w:t xml:space="preserve">a dále rozvíjí zásady standardu IAS 37, který požaduje, aby společnost při stanovení výše rezervy: </w:t>
      </w:r>
    </w:p>
    <w:p w:rsidR="00177158" w:rsidRPr="001607E8" w:rsidRDefault="00177158" w:rsidP="009D0F1F">
      <w:pPr>
        <w:pStyle w:val="Odstavecseseznamem"/>
        <w:numPr>
          <w:ilvl w:val="0"/>
          <w:numId w:val="6"/>
        </w:numPr>
        <w:spacing w:line="276" w:lineRule="auto"/>
        <w:rPr>
          <w:rFonts w:ascii="Verdana" w:hAnsi="Verdana"/>
        </w:rPr>
      </w:pPr>
      <w:r w:rsidRPr="001607E8">
        <w:rPr>
          <w:rFonts w:ascii="Verdana" w:hAnsi="Verdana"/>
        </w:rPr>
        <w:t>vzala v úvahu veškerá související rizika a nejistoty, aniž by vytvořila rezervu v nadměrné výši,</w:t>
      </w:r>
    </w:p>
    <w:p w:rsidR="001607E8" w:rsidRDefault="00177158" w:rsidP="009D0F1F">
      <w:pPr>
        <w:pStyle w:val="Odstavecseseznamem"/>
        <w:numPr>
          <w:ilvl w:val="0"/>
          <w:numId w:val="6"/>
        </w:numPr>
        <w:spacing w:line="276" w:lineRule="auto"/>
        <w:rPr>
          <w:rFonts w:ascii="Verdana" w:hAnsi="Verdana"/>
        </w:rPr>
      </w:pPr>
      <w:r w:rsidRPr="001607E8">
        <w:rPr>
          <w:rFonts w:ascii="Verdana" w:hAnsi="Verdana"/>
        </w:rPr>
        <w:t>upravila závazek s použitím diskontní sazby odpovídající aktuálnímu tržnímu ocenění hodnoty peněz,</w:t>
      </w:r>
    </w:p>
    <w:p w:rsidR="00177158" w:rsidRPr="001607E8" w:rsidRDefault="00177158" w:rsidP="009D0F1F">
      <w:pPr>
        <w:pStyle w:val="Odstavecseseznamem"/>
        <w:numPr>
          <w:ilvl w:val="0"/>
          <w:numId w:val="6"/>
        </w:numPr>
        <w:spacing w:line="276" w:lineRule="auto"/>
        <w:rPr>
          <w:rFonts w:ascii="Verdana" w:hAnsi="Verdana"/>
        </w:rPr>
      </w:pPr>
      <w:r w:rsidRPr="001607E8">
        <w:rPr>
          <w:rFonts w:ascii="Verdana" w:hAnsi="Verdana"/>
        </w:rPr>
        <w:t>vzala v úvahu budoucí události, například legislativní změny, pokud existují dostatečně objektivní důkazy jejich uskutečnění.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Směrnice respektuje požadavky mezinárodních účetních standardů, aby test postačitelnosti technických rezerv neživotního pojištění byl proveden na základě aktuálních odhadů veškerých budoucích peněžních toků z pojistných smluv.  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Směrnice vykládá test postačitelnosti jako </w:t>
      </w:r>
      <w:proofErr w:type="spellStart"/>
      <w:r w:rsidRPr="00177158">
        <w:rPr>
          <w:rFonts w:ascii="Verdana" w:hAnsi="Verdana"/>
        </w:rPr>
        <w:t>aktuárskou</w:t>
      </w:r>
      <w:proofErr w:type="spellEnd"/>
      <w:r w:rsidRPr="00177158">
        <w:rPr>
          <w:rFonts w:ascii="Verdana" w:hAnsi="Verdana"/>
        </w:rPr>
        <w:t xml:space="preserve"> službu dle SAP1.</w:t>
      </w:r>
    </w:p>
    <w:p w:rsidR="00177158" w:rsidRPr="00177158" w:rsidRDefault="00177158" w:rsidP="009D0F1F">
      <w:pPr>
        <w:pStyle w:val="Odstavecseseznamem"/>
        <w:numPr>
          <w:ilvl w:val="0"/>
          <w:numId w:val="3"/>
        </w:numPr>
        <w:spacing w:line="276" w:lineRule="auto"/>
        <w:ind w:left="357" w:hanging="357"/>
        <w:rPr>
          <w:rFonts w:ascii="Verdana" w:hAnsi="Verdana"/>
          <w:b/>
        </w:rPr>
      </w:pPr>
      <w:r w:rsidRPr="00177158">
        <w:rPr>
          <w:rFonts w:ascii="Verdana" w:hAnsi="Verdana"/>
          <w:b/>
        </w:rPr>
        <w:t>Předmět testování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Předmětem testování je posouzení postačitelnosti technických rezerv na pokrytí příslušných budoucích peněžních toků. 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Test porovnává účetní hodnotu pojistných závazků (A) s odhadem budoucích peněžních toků plynoucí z uzavřených pojistných smluv (B).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DEFINICE A:</w:t>
      </w:r>
    </w:p>
    <w:p w:rsidR="00177158" w:rsidRPr="00177158" w:rsidRDefault="00177158" w:rsidP="009D0F1F">
      <w:pPr>
        <w:spacing w:line="276" w:lineRule="auto"/>
        <w:ind w:left="720"/>
        <w:rPr>
          <w:rFonts w:ascii="Verdana" w:hAnsi="Verdana"/>
        </w:rPr>
      </w:pPr>
      <w:r w:rsidRPr="00177158">
        <w:rPr>
          <w:rFonts w:ascii="Verdana" w:hAnsi="Verdana"/>
        </w:rPr>
        <w:t>Za účetní hodnotu pojistných závazků je považován součet technických rezerv neživotního pojištění, viz bod č.</w:t>
      </w:r>
      <w:r w:rsidR="00325B0A">
        <w:rPr>
          <w:rFonts w:ascii="Verdana" w:hAnsi="Verdana"/>
        </w:rPr>
        <w:t xml:space="preserve"> </w:t>
      </w:r>
      <w:r w:rsidRPr="00177158">
        <w:rPr>
          <w:rFonts w:ascii="Verdana" w:hAnsi="Verdana"/>
        </w:rPr>
        <w:t xml:space="preserve">4 </w:t>
      </w:r>
      <w:proofErr w:type="gramStart"/>
      <w:r w:rsidRPr="00177158">
        <w:rPr>
          <w:rFonts w:ascii="Verdana" w:hAnsi="Verdana"/>
        </w:rPr>
        <w:t>této</w:t>
      </w:r>
      <w:proofErr w:type="gramEnd"/>
      <w:r w:rsidRPr="00177158">
        <w:rPr>
          <w:rFonts w:ascii="Verdana" w:hAnsi="Verdana"/>
        </w:rPr>
        <w:t xml:space="preserve"> směrnice.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DEFINICE B: </w:t>
      </w:r>
    </w:p>
    <w:p w:rsidR="00177158" w:rsidRPr="00177158" w:rsidRDefault="00177158" w:rsidP="009D0F1F">
      <w:pPr>
        <w:spacing w:line="276" w:lineRule="auto"/>
        <w:ind w:left="720"/>
        <w:rPr>
          <w:rFonts w:ascii="Verdana" w:hAnsi="Verdana"/>
        </w:rPr>
      </w:pPr>
      <w:r w:rsidRPr="00177158">
        <w:rPr>
          <w:rFonts w:ascii="Verdana" w:hAnsi="Verdana"/>
        </w:rPr>
        <w:t>Odhad budoucích peněžních toků zahrnuje všechny peněžní toky související s dosud uzavřenými pojistnými smlouvami, viz bod č. 5 této směrnice.</w:t>
      </w:r>
    </w:p>
    <w:p w:rsidR="00177158" w:rsidRPr="001607E8" w:rsidRDefault="00177158" w:rsidP="009D0F1F">
      <w:pPr>
        <w:pStyle w:val="Odstavecseseznamem"/>
        <w:numPr>
          <w:ilvl w:val="0"/>
          <w:numId w:val="3"/>
        </w:numPr>
        <w:spacing w:line="276" w:lineRule="auto"/>
        <w:ind w:left="357" w:hanging="357"/>
        <w:rPr>
          <w:rFonts w:ascii="Verdana" w:hAnsi="Verdana"/>
          <w:b/>
        </w:rPr>
      </w:pPr>
      <w:r w:rsidRPr="001607E8">
        <w:rPr>
          <w:rFonts w:ascii="Verdana" w:hAnsi="Verdana"/>
          <w:b/>
        </w:rPr>
        <w:t>Účetní hodnota pojistných závazků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Účetní hodnota pojistných závazků představuje součet následujících typů technických rezerv:</w:t>
      </w:r>
    </w:p>
    <w:p w:rsidR="00177158" w:rsidRPr="00967B15" w:rsidRDefault="00177158" w:rsidP="00967B15">
      <w:pPr>
        <w:pStyle w:val="Odstavecseseznamem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1607E8">
        <w:rPr>
          <w:rFonts w:ascii="Verdana" w:hAnsi="Verdana"/>
        </w:rPr>
        <w:lastRenderedPageBreak/>
        <w:t>Rezervy na pojistná plnění nevyřízených pojistných událostí („škodní rezervy“) tj. rezervy na nahlášené, ale nezlikvidované pojistné události (rezerva RBNS) a rezervy na vzniklé, ale nenahlášené pojistné události (rezerva IBNR), včetně části rezervy na náklady spojené s likvidací pojistných událostí</w:t>
      </w:r>
      <w:r w:rsidR="00967B15">
        <w:rPr>
          <w:rFonts w:ascii="Verdana" w:hAnsi="Verdana"/>
        </w:rPr>
        <w:t>.</w:t>
      </w:r>
    </w:p>
    <w:p w:rsidR="00177158" w:rsidRPr="00967B15" w:rsidRDefault="00177158" w:rsidP="00967B15">
      <w:pPr>
        <w:pStyle w:val="Odstavecseseznamem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1607E8">
        <w:rPr>
          <w:rFonts w:ascii="Verdana" w:hAnsi="Verdana"/>
        </w:rPr>
        <w:t xml:space="preserve">Rezervy vztahující se k budoucím </w:t>
      </w:r>
      <w:proofErr w:type="gramStart"/>
      <w:r w:rsidRPr="001607E8">
        <w:rPr>
          <w:rFonts w:ascii="Verdana" w:hAnsi="Verdana"/>
        </w:rPr>
        <w:t>událostem ( „rezervy</w:t>
      </w:r>
      <w:proofErr w:type="gramEnd"/>
      <w:r w:rsidRPr="001607E8">
        <w:rPr>
          <w:rFonts w:ascii="Verdana" w:hAnsi="Verdana"/>
        </w:rPr>
        <w:t xml:space="preserve"> pojistného“), zahrnující rezervy na nezasloužené pojistné a  rezervy na hrozící ztráty)</w:t>
      </w:r>
      <w:r w:rsidR="00967B15">
        <w:rPr>
          <w:rFonts w:ascii="Verdana" w:hAnsi="Verdana"/>
        </w:rPr>
        <w:t>.</w:t>
      </w:r>
    </w:p>
    <w:p w:rsidR="00177158" w:rsidRPr="001607E8" w:rsidRDefault="00177158" w:rsidP="009D0F1F">
      <w:pPr>
        <w:pStyle w:val="Odstavecseseznamem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1607E8">
        <w:rPr>
          <w:rFonts w:ascii="Verdana" w:hAnsi="Verdana"/>
        </w:rPr>
        <w:t xml:space="preserve">Ostatní technické rezervy, jako například Rezerva na bonusy a slevy či Rezerva na závazky Kanceláře. 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Součet výše uvedených rezerv je následně snížen o časové rozlišení pořizovacích nákladů.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Ostatní technické závazky neživotního pojištění jsou v testu posouzeny alespoň kvalitativně, nevyžaduje-li jejich významnost (</w:t>
      </w:r>
      <w:proofErr w:type="spellStart"/>
      <w:r w:rsidRPr="00177158">
        <w:rPr>
          <w:rFonts w:ascii="Verdana" w:hAnsi="Verdana"/>
        </w:rPr>
        <w:t>materialita</w:t>
      </w:r>
      <w:proofErr w:type="spellEnd"/>
      <w:r w:rsidRPr="00177158">
        <w:rPr>
          <w:rFonts w:ascii="Verdana" w:hAnsi="Verdana"/>
        </w:rPr>
        <w:t>) jinak.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Technické rezervy kryjící závazky, které neexistují k rozhodnému datu, nejsou předmětem testování.</w:t>
      </w:r>
    </w:p>
    <w:p w:rsidR="00177158" w:rsidRPr="001607E8" w:rsidRDefault="00177158" w:rsidP="009D0F1F">
      <w:pPr>
        <w:pStyle w:val="Odstavecseseznamem"/>
        <w:numPr>
          <w:ilvl w:val="0"/>
          <w:numId w:val="3"/>
        </w:numPr>
        <w:spacing w:line="276" w:lineRule="auto"/>
        <w:ind w:left="357" w:hanging="357"/>
        <w:rPr>
          <w:rFonts w:ascii="Verdana" w:hAnsi="Verdana"/>
          <w:b/>
        </w:rPr>
      </w:pPr>
      <w:r w:rsidRPr="001607E8">
        <w:rPr>
          <w:rFonts w:ascii="Verdana" w:hAnsi="Verdana"/>
          <w:b/>
        </w:rPr>
        <w:t xml:space="preserve">Odhad budoucích peněžních toků 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Tato směrnice nepředkládá vyčerpávající návod na stanovení odhadu budoucích peněžních toků postačitelnosti rezerv, ale poskytuje zásady a doporučení, které by měly být v testu zohledněny. 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Jako odhad budoucích peněžních toků pro účely této směrnice se použije diskontovaná hodnota součtu projektovaných peněžních toků z dosud uzavřených pojistných smluv. Jedná se zejména o toky:</w:t>
      </w:r>
    </w:p>
    <w:p w:rsidR="00177158" w:rsidRPr="001607E8" w:rsidRDefault="00177158" w:rsidP="009D0F1F">
      <w:pPr>
        <w:pStyle w:val="Odstavecseseznamem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1607E8">
        <w:rPr>
          <w:rFonts w:ascii="Verdana" w:hAnsi="Verdana"/>
        </w:rPr>
        <w:t>budoucího pojistného nad rámec rezervy na nezasloužené pojistné, které přísluší uzavřeným pojistným smlouvám až do hranice pojistné smlouvy uvedené v bodu 7 této směrnice („n</w:t>
      </w:r>
      <w:r w:rsidR="00967B15">
        <w:rPr>
          <w:rFonts w:ascii="Verdana" w:hAnsi="Verdana"/>
        </w:rPr>
        <w:t>epředepsané zavázané pojistné“),</w:t>
      </w:r>
    </w:p>
    <w:p w:rsidR="001607E8" w:rsidRDefault="00177158" w:rsidP="009D0F1F">
      <w:pPr>
        <w:pStyle w:val="Odstavecseseznamem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1607E8">
        <w:rPr>
          <w:rFonts w:ascii="Verdana" w:hAnsi="Verdana"/>
        </w:rPr>
        <w:t>pojistného plnění</w:t>
      </w:r>
      <w:r w:rsidR="00967B15">
        <w:rPr>
          <w:rFonts w:ascii="Verdana" w:hAnsi="Verdana"/>
        </w:rPr>
        <w:t>,</w:t>
      </w:r>
    </w:p>
    <w:p w:rsidR="001607E8" w:rsidRDefault="00177158" w:rsidP="009D0F1F">
      <w:pPr>
        <w:pStyle w:val="Odstavecseseznamem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1607E8">
        <w:rPr>
          <w:rFonts w:ascii="Verdana" w:hAnsi="Verdana"/>
        </w:rPr>
        <w:t>regresů pojistného plnění</w:t>
      </w:r>
      <w:r w:rsidR="00967B15">
        <w:rPr>
          <w:rFonts w:ascii="Verdana" w:hAnsi="Verdana"/>
        </w:rPr>
        <w:t>,</w:t>
      </w:r>
    </w:p>
    <w:p w:rsidR="001607E8" w:rsidRDefault="00177158" w:rsidP="009D0F1F">
      <w:pPr>
        <w:pStyle w:val="Odstavecseseznamem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1607E8">
        <w:rPr>
          <w:rFonts w:ascii="Verdana" w:hAnsi="Verdana"/>
        </w:rPr>
        <w:t>budoucích počátečních (např. provize související s nepředepsaným zavázaným pojistným), správních, likvidačních a dalších souvisejících nákladů</w:t>
      </w:r>
      <w:r w:rsidR="00967B15">
        <w:rPr>
          <w:rFonts w:ascii="Verdana" w:hAnsi="Verdana"/>
        </w:rPr>
        <w:t>,</w:t>
      </w:r>
    </w:p>
    <w:p w:rsidR="001607E8" w:rsidRDefault="00177158" w:rsidP="009D0F1F">
      <w:pPr>
        <w:pStyle w:val="Odstavecseseznamem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1607E8">
        <w:rPr>
          <w:rFonts w:ascii="Verdana" w:hAnsi="Verdana"/>
        </w:rPr>
        <w:t>odvodů či příspěvků</w:t>
      </w:r>
      <w:r w:rsidR="00967B15">
        <w:rPr>
          <w:rFonts w:ascii="Verdana" w:hAnsi="Verdana"/>
        </w:rPr>
        <w:t>,</w:t>
      </w:r>
    </w:p>
    <w:p w:rsidR="00177158" w:rsidRPr="001607E8" w:rsidRDefault="00177158" w:rsidP="009D0F1F">
      <w:pPr>
        <w:pStyle w:val="Odstavecseseznamem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1607E8">
        <w:rPr>
          <w:rFonts w:ascii="Verdana" w:hAnsi="Verdana"/>
        </w:rPr>
        <w:t>bonifikací plynoucích z pojistných smluv</w:t>
      </w:r>
      <w:r w:rsidR="00967B15">
        <w:rPr>
          <w:rFonts w:ascii="Verdana" w:hAnsi="Verdana"/>
        </w:rPr>
        <w:t>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V případě toků pojistného plnění, regresů a nákladů je nutné</w:t>
      </w:r>
      <w:r w:rsidR="009D0F1F">
        <w:rPr>
          <w:rFonts w:ascii="Verdana" w:hAnsi="Verdana"/>
        </w:rPr>
        <w:t xml:space="preserve"> odlišit, zda</w:t>
      </w:r>
      <w:r w:rsidRPr="00177158">
        <w:rPr>
          <w:rFonts w:ascii="Verdana" w:hAnsi="Verdana"/>
        </w:rPr>
        <w:t xml:space="preserve">li se vztahují ke </w:t>
      </w:r>
      <w:proofErr w:type="spellStart"/>
      <w:r w:rsidRPr="00177158">
        <w:rPr>
          <w:rFonts w:ascii="Verdana" w:hAnsi="Verdana"/>
        </w:rPr>
        <w:t>škodním</w:t>
      </w:r>
      <w:proofErr w:type="spellEnd"/>
      <w:r w:rsidRPr="00177158">
        <w:rPr>
          <w:rFonts w:ascii="Verdana" w:hAnsi="Verdana"/>
        </w:rPr>
        <w:t xml:space="preserve"> událostem již vzniklým nebo ke </w:t>
      </w:r>
      <w:proofErr w:type="spellStart"/>
      <w:r w:rsidRPr="00177158">
        <w:rPr>
          <w:rFonts w:ascii="Verdana" w:hAnsi="Verdana"/>
        </w:rPr>
        <w:t>škodním</w:t>
      </w:r>
      <w:proofErr w:type="spellEnd"/>
      <w:r w:rsidRPr="00177158">
        <w:rPr>
          <w:rFonts w:ascii="Verdana" w:hAnsi="Verdana"/>
        </w:rPr>
        <w:t xml:space="preserve"> událostem budoucím, plynoucích ze současných smluv dle hranice definice kontraktu [7].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Toky související s pasivním zajištěním nejsou v tomto testu brány v úvahu, viz též bod 8.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Pro stanovení finančních toků se použijí vhodné statisticko-pojistné metody. Při volbě metody by měla být posouzena její adekvátnost a stálost.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Odhad budoucích peněžních toků nemůže být nižší než střední hodnota těchto toků, očekávaná na základě racionálních předpokladů. Odhad toků by zároveň měl být v souladu s rizikovým apetitem společnosti.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Pokud společnost explicitně zvolí nějakou vyšší mez než střední hodnotu, uvede toto </w:t>
      </w:r>
      <w:proofErr w:type="spellStart"/>
      <w:r w:rsidRPr="00177158">
        <w:rPr>
          <w:rFonts w:ascii="Verdana" w:hAnsi="Verdana"/>
        </w:rPr>
        <w:t>aktuár</w:t>
      </w:r>
      <w:proofErr w:type="spellEnd"/>
      <w:r w:rsidRPr="00177158">
        <w:rPr>
          <w:rFonts w:ascii="Verdana" w:hAnsi="Verdana"/>
        </w:rPr>
        <w:t xml:space="preserve"> v dokumentaci testu postačitelnosti. Zároveň vždy uvede případné změny zvolené meze oproti předchozím testům včetně jejich odůvodnění. </w:t>
      </w:r>
    </w:p>
    <w:p w:rsidR="00177158" w:rsidRPr="00DF4D0B" w:rsidRDefault="00177158" w:rsidP="009D0F1F">
      <w:pPr>
        <w:pStyle w:val="Odstavecseseznamem"/>
        <w:numPr>
          <w:ilvl w:val="0"/>
          <w:numId w:val="3"/>
        </w:numPr>
        <w:spacing w:line="276" w:lineRule="auto"/>
        <w:ind w:left="357" w:hanging="357"/>
        <w:rPr>
          <w:rFonts w:ascii="Verdana" w:hAnsi="Verdana"/>
          <w:b/>
        </w:rPr>
      </w:pPr>
      <w:r w:rsidRPr="00DF4D0B">
        <w:rPr>
          <w:rFonts w:ascii="Verdana" w:hAnsi="Verdana"/>
          <w:b/>
        </w:rPr>
        <w:lastRenderedPageBreak/>
        <w:t>Homogenita a segmentace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Tato směrnice definuje tři požadované úrovně segmentace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a)</w:t>
      </w:r>
      <w:r w:rsidRPr="00177158">
        <w:rPr>
          <w:rFonts w:ascii="Verdana" w:hAnsi="Verdana"/>
        </w:rPr>
        <w:tab/>
        <w:t xml:space="preserve">Segmentace pro vyhodnocení postačitelnosti 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O segmentaci pojistného kmene pro ověřování postačitelnosti IFRS uvádí, že test má být prováděn na souborech smluv vystavených obdobným rizikům a spravovaným jako jediné portfolio. V rámci tohoto kritéria si společnost může zvolit přesnou definici segmentů, na jejichž úrovni vyhodnocuje (ne)postačitelnost rezerv. Společnost pokračuje v segmentaci používané ve stávajícím testování, pokud nemá závažný důvod k její změně. Změna segmentace je většinou považována za změnu účetní metody.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b) Segmentace pro výpočet očekávané hodnoty finančních toků (výpočetní segmenty)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Pro výpočet očekávané hodnoty budoucích finančních toků by měly být závazky rozděleny do výpočetních segmentů tak, aby je bylo možné považovat za homogenní a zároveň umožňovaly provádět robustní odhady.  Z důvodu zajištění homogenity chování segmentu i adekvátnosti použitých metod výpočtu by testovací segmenty měly být v případě vhodnosti rozděleny dle následujících až tří kritérií:</w:t>
      </w:r>
    </w:p>
    <w:p w:rsidR="00177158" w:rsidRPr="009D0F1F" w:rsidRDefault="00177158" w:rsidP="009D0F1F">
      <w:pPr>
        <w:pStyle w:val="Odstavecseseznamem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9D0F1F">
        <w:rPr>
          <w:rFonts w:ascii="Verdana" w:hAnsi="Verdana"/>
        </w:rPr>
        <w:t>segmentace dle typu rezervy (zejména škodní rezerva, rezerva pojistného)</w:t>
      </w:r>
      <w:r w:rsidR="00967B15">
        <w:rPr>
          <w:rFonts w:ascii="Verdana" w:hAnsi="Verdana"/>
        </w:rPr>
        <w:t>,</w:t>
      </w:r>
    </w:p>
    <w:p w:rsidR="00177158" w:rsidRPr="009D0F1F" w:rsidRDefault="00177158" w:rsidP="009D0F1F">
      <w:pPr>
        <w:pStyle w:val="Odstavecseseznamem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9D0F1F">
        <w:rPr>
          <w:rFonts w:ascii="Verdana" w:hAnsi="Verdana"/>
        </w:rPr>
        <w:t>segmentace dle homogenity pojištěných rizik</w:t>
      </w:r>
      <w:r w:rsidR="00967B15">
        <w:rPr>
          <w:rFonts w:ascii="Verdana" w:hAnsi="Verdana"/>
        </w:rPr>
        <w:t>,</w:t>
      </w:r>
    </w:p>
    <w:p w:rsidR="00177158" w:rsidRPr="009D0F1F" w:rsidRDefault="00177158" w:rsidP="009D0F1F">
      <w:pPr>
        <w:pStyle w:val="Odstavecseseznamem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9D0F1F">
        <w:rPr>
          <w:rFonts w:ascii="Verdana" w:hAnsi="Verdana"/>
        </w:rPr>
        <w:t>segmentace dle typu škod (normální škody, velké jednotlivé škody, katastrofické škodní události, rentové škody)</w:t>
      </w:r>
      <w:r w:rsidR="00967B15">
        <w:rPr>
          <w:rFonts w:ascii="Verdana" w:hAnsi="Verdana"/>
        </w:rPr>
        <w:t>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Vyžaduje-li to chování jednotlivých závazků, pak se výpočetní skupiny rizik mohou lišit pro jednotlivé typy rezerv. Je-li některá nemateriální skupina rizik nedostatečná pro použití pojistně-matematických metod, pak je nutné použít </w:t>
      </w:r>
      <w:proofErr w:type="spellStart"/>
      <w:r w:rsidRPr="00177158">
        <w:rPr>
          <w:rFonts w:ascii="Verdana" w:hAnsi="Verdana"/>
        </w:rPr>
        <w:t>aktuárský</w:t>
      </w:r>
      <w:proofErr w:type="spellEnd"/>
      <w:r w:rsidRPr="00177158">
        <w:rPr>
          <w:rFonts w:ascii="Verdana" w:hAnsi="Verdana"/>
        </w:rPr>
        <w:t xml:space="preserve"> úsudek pro posouzení rizika nepostačitelnosti rezerv.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c) Segmentace zobrazení výsledků pro účely dokumentace (výsledkové segmenty)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proofErr w:type="spellStart"/>
      <w:r w:rsidRPr="00177158">
        <w:rPr>
          <w:rFonts w:ascii="Verdana" w:hAnsi="Verdana"/>
        </w:rPr>
        <w:t>Aktuár</w:t>
      </w:r>
      <w:proofErr w:type="spellEnd"/>
      <w:r w:rsidRPr="00177158">
        <w:rPr>
          <w:rFonts w:ascii="Verdana" w:hAnsi="Verdana"/>
        </w:rPr>
        <w:t xml:space="preserve"> si může sám zvolit detail vykazování výsledků testu postačitelnosti. Doporučeným minimem je rozdělení dle typů rezerv a na pojistná odvětví. Zvolený detail by </w:t>
      </w:r>
      <w:proofErr w:type="spellStart"/>
      <w:r w:rsidRPr="00177158">
        <w:rPr>
          <w:rFonts w:ascii="Verdana" w:hAnsi="Verdana"/>
        </w:rPr>
        <w:t>aktuár</w:t>
      </w:r>
      <w:proofErr w:type="spellEnd"/>
      <w:r w:rsidRPr="00177158">
        <w:rPr>
          <w:rFonts w:ascii="Verdana" w:hAnsi="Verdana"/>
        </w:rPr>
        <w:t xml:space="preserve"> neměl měnit, nemá-li k tomu závažný důvod.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Segmenty pro vyhodnocení postačitelnosti, výpočetní segmenty a segmenty vykazování se nutně nemusí shodovat.</w:t>
      </w:r>
    </w:p>
    <w:p w:rsidR="00177158" w:rsidRPr="00DF4D0B" w:rsidRDefault="00177158" w:rsidP="009D0F1F">
      <w:pPr>
        <w:pStyle w:val="Odstavecseseznamem"/>
        <w:numPr>
          <w:ilvl w:val="0"/>
          <w:numId w:val="3"/>
        </w:numPr>
        <w:spacing w:line="276" w:lineRule="auto"/>
        <w:ind w:left="357" w:hanging="357"/>
        <w:rPr>
          <w:rFonts w:ascii="Verdana" w:hAnsi="Verdana"/>
          <w:b/>
        </w:rPr>
      </w:pPr>
      <w:r w:rsidRPr="00DF4D0B">
        <w:rPr>
          <w:rFonts w:ascii="Verdana" w:hAnsi="Verdana"/>
          <w:b/>
        </w:rPr>
        <w:t>Hranice smluv</w:t>
      </w:r>
    </w:p>
    <w:p w:rsidR="00177158" w:rsidRPr="00177158" w:rsidRDefault="00177158" w:rsidP="00325B0A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V testu postačitelnosti se berou v úvahu očekávané peněžní toky ze stávajících pojistných smluv související se závazky a pohledávkami, které příslušejí období až do hranice smlouvy definované níže. Zároveň se berou v úvahu v budoucnu očekávané peněžní toky související se závazky a pohledávkami, které již vznikly na stávajících a minulých pojistných smlouvách.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Hranicí smlouvy se zpravidla rozumí hranice blíže specifikovaná v [3]. Pokud toto určení hranice není v souladu s účetní praxí pojišťovny a </w:t>
      </w:r>
      <w:proofErr w:type="spellStart"/>
      <w:r w:rsidRPr="00177158">
        <w:rPr>
          <w:rFonts w:ascii="Verdana" w:hAnsi="Verdana"/>
        </w:rPr>
        <w:t>aktuár</w:t>
      </w:r>
      <w:proofErr w:type="spellEnd"/>
      <w:r w:rsidRPr="00177158">
        <w:rPr>
          <w:rFonts w:ascii="Verdana" w:hAnsi="Verdana"/>
        </w:rPr>
        <w:t xml:space="preserve"> zvolí alternativní specifikaci hranice smlouvy, je třeba její přesnou definici zdokumentovat, včetně prokázání konsistence zvoleného přístupu s účtováním výnosů a nákladů z pojistných smluv. </w:t>
      </w:r>
    </w:p>
    <w:p w:rsidR="00177158" w:rsidRPr="00DF4D0B" w:rsidRDefault="00177158" w:rsidP="009D0F1F">
      <w:pPr>
        <w:pStyle w:val="Odstavecseseznamem"/>
        <w:numPr>
          <w:ilvl w:val="0"/>
          <w:numId w:val="3"/>
        </w:numPr>
        <w:spacing w:line="276" w:lineRule="auto"/>
        <w:ind w:left="357" w:hanging="357"/>
        <w:rPr>
          <w:rFonts w:ascii="Verdana" w:hAnsi="Verdana"/>
          <w:b/>
        </w:rPr>
      </w:pPr>
      <w:r w:rsidRPr="00DF4D0B">
        <w:rPr>
          <w:rFonts w:ascii="Verdana" w:hAnsi="Verdana"/>
          <w:b/>
        </w:rPr>
        <w:t>Zajištění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lastRenderedPageBreak/>
        <w:t>Test postačitelnosti se v základní podobě vždy provádí na hrubé výši technických rezerv a peněžní toky související s pasivním zajištěním nejsou v tomto testu brány v úvahu. V souladu se standardem [5] vzhledem k oddělenému účtování zajistných aktiv není otázka zajištění primárně předmětem testování postačitelnosti technických rezerv (tzn. zaúčtovaných závazků).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Mezinárodní účetní standardy nad rámec testu postačitelnosti technických rezerv předepisují test snížení hodnoty zajistných aktiv („</w:t>
      </w:r>
      <w:proofErr w:type="spellStart"/>
      <w:r w:rsidRPr="00177158">
        <w:rPr>
          <w:rFonts w:ascii="Verdana" w:hAnsi="Verdana"/>
        </w:rPr>
        <w:t>impairment</w:t>
      </w:r>
      <w:proofErr w:type="spellEnd"/>
      <w:r w:rsidRPr="00177158">
        <w:rPr>
          <w:rFonts w:ascii="Verdana" w:hAnsi="Verdana"/>
        </w:rPr>
        <w:t xml:space="preserve"> test“). Dále je možné vliv zajištění zohlednit formou doplňkového testu postačitelnosti na základě rezerv a peněžních toků po vlivu zajištění, či kvalitativním zhodnocením vhodnosti struktury zajistných programů.</w:t>
      </w:r>
    </w:p>
    <w:p w:rsidR="00177158" w:rsidRPr="00DF4D0B" w:rsidRDefault="00177158" w:rsidP="009D0F1F">
      <w:pPr>
        <w:pStyle w:val="Odstavecseseznamem"/>
        <w:numPr>
          <w:ilvl w:val="0"/>
          <w:numId w:val="3"/>
        </w:numPr>
        <w:spacing w:line="276" w:lineRule="auto"/>
        <w:ind w:left="357" w:hanging="357"/>
        <w:rPr>
          <w:rFonts w:ascii="Verdana" w:hAnsi="Verdana"/>
          <w:b/>
        </w:rPr>
      </w:pPr>
      <w:r w:rsidRPr="00DF4D0B">
        <w:rPr>
          <w:rFonts w:ascii="Verdana" w:hAnsi="Verdana"/>
          <w:b/>
        </w:rPr>
        <w:t>Diskontování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Při projekci budoucích peněžních toků se pro účely diskontování při stanovení současné hodnoty těchto budoucích finančních toků doporučuje použití bezrizikové úrokové míry. V případě použití jiné úrokové míry by tato neměla převyšovat očekávanou míru výnosů z portfolia aktiv kryjících příslušné závazky, a to včetně zohlednění rizika selhání protistran. 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Pokud není diskontování použito, je nutno dokázat, že se tím odhad ocitá na bezpečné straně.</w:t>
      </w:r>
    </w:p>
    <w:p w:rsidR="00177158" w:rsidRPr="00DF4D0B" w:rsidRDefault="00177158" w:rsidP="009D0F1F">
      <w:pPr>
        <w:pStyle w:val="Odstavecseseznamem"/>
        <w:numPr>
          <w:ilvl w:val="0"/>
          <w:numId w:val="3"/>
        </w:numPr>
        <w:spacing w:line="276" w:lineRule="auto"/>
        <w:ind w:left="357" w:hanging="357"/>
        <w:rPr>
          <w:rFonts w:ascii="Verdana" w:hAnsi="Verdana"/>
          <w:b/>
        </w:rPr>
      </w:pPr>
      <w:r w:rsidRPr="00DF4D0B">
        <w:rPr>
          <w:rFonts w:ascii="Verdana" w:hAnsi="Verdana"/>
          <w:b/>
        </w:rPr>
        <w:t>Předpoklady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Při odhadu budoucích peněžních toků se užívají zpravidla metody uvedené v příslušných interních směrnicích pro tvorbu technických rezerv pojišťovny při účetní závěrce na konci účetního období. Přitom je zejména nutné dohlédnout, aby užité početní podklady odpovídaly nejlepší predikci budoucího vývoje škod. 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Při testování musí být zohledněny:</w:t>
      </w:r>
    </w:p>
    <w:p w:rsidR="00177158" w:rsidRPr="009D0F1F" w:rsidRDefault="00177158" w:rsidP="009D0F1F">
      <w:pPr>
        <w:pStyle w:val="Odstavecseseznamem"/>
        <w:numPr>
          <w:ilvl w:val="0"/>
          <w:numId w:val="8"/>
        </w:numPr>
        <w:spacing w:line="276" w:lineRule="auto"/>
        <w:rPr>
          <w:rFonts w:ascii="Verdana" w:hAnsi="Verdana"/>
        </w:rPr>
      </w:pPr>
      <w:r w:rsidRPr="009D0F1F">
        <w:rPr>
          <w:rFonts w:ascii="Verdana" w:hAnsi="Verdana"/>
        </w:rPr>
        <w:t xml:space="preserve">reálný odhad budoucích </w:t>
      </w:r>
      <w:proofErr w:type="spellStart"/>
      <w:r w:rsidRPr="009D0F1F">
        <w:rPr>
          <w:rFonts w:ascii="Verdana" w:hAnsi="Verdana"/>
        </w:rPr>
        <w:t>škodních</w:t>
      </w:r>
      <w:proofErr w:type="spellEnd"/>
      <w:r w:rsidRPr="009D0F1F">
        <w:rPr>
          <w:rFonts w:ascii="Verdana" w:hAnsi="Verdana"/>
        </w:rPr>
        <w:t xml:space="preserve"> nároků</w:t>
      </w:r>
      <w:r w:rsidR="00967B15">
        <w:rPr>
          <w:rFonts w:ascii="Verdana" w:hAnsi="Verdana"/>
        </w:rPr>
        <w:t>,</w:t>
      </w:r>
    </w:p>
    <w:p w:rsidR="00177158" w:rsidRPr="009D0F1F" w:rsidRDefault="00177158" w:rsidP="009D0F1F">
      <w:pPr>
        <w:pStyle w:val="Odstavecseseznamem"/>
        <w:numPr>
          <w:ilvl w:val="0"/>
          <w:numId w:val="8"/>
        </w:numPr>
        <w:spacing w:line="276" w:lineRule="auto"/>
        <w:rPr>
          <w:rFonts w:ascii="Verdana" w:hAnsi="Verdana"/>
        </w:rPr>
      </w:pPr>
      <w:r w:rsidRPr="009D0F1F">
        <w:rPr>
          <w:rFonts w:ascii="Verdana" w:hAnsi="Verdana"/>
        </w:rPr>
        <w:t>veškeré náklady spojené s existujícím portfoliem za předpokladu pokračování společnosti v podnikání (</w:t>
      </w:r>
      <w:proofErr w:type="spellStart"/>
      <w:r w:rsidRPr="009D0F1F">
        <w:rPr>
          <w:rFonts w:ascii="Verdana" w:hAnsi="Verdana"/>
        </w:rPr>
        <w:t>going</w:t>
      </w:r>
      <w:proofErr w:type="spellEnd"/>
      <w:r w:rsidRPr="009D0F1F">
        <w:rPr>
          <w:rFonts w:ascii="Verdana" w:hAnsi="Verdana"/>
        </w:rPr>
        <w:t xml:space="preserve"> </w:t>
      </w:r>
      <w:proofErr w:type="spellStart"/>
      <w:r w:rsidRPr="009D0F1F">
        <w:rPr>
          <w:rFonts w:ascii="Verdana" w:hAnsi="Verdana"/>
        </w:rPr>
        <w:t>concern</w:t>
      </w:r>
      <w:proofErr w:type="spellEnd"/>
      <w:r w:rsidRPr="009D0F1F">
        <w:rPr>
          <w:rFonts w:ascii="Verdana" w:hAnsi="Verdana"/>
        </w:rPr>
        <w:t>) a to jak relevantní získatelské, tak administrativní i likvidační náklady</w:t>
      </w:r>
      <w:r w:rsidR="00967B15">
        <w:rPr>
          <w:rFonts w:ascii="Verdana" w:hAnsi="Verdana"/>
        </w:rPr>
        <w:t>,</w:t>
      </w:r>
    </w:p>
    <w:p w:rsidR="00177158" w:rsidRPr="009D0F1F" w:rsidRDefault="00177158" w:rsidP="009D0F1F">
      <w:pPr>
        <w:pStyle w:val="Odstavecseseznamem"/>
        <w:numPr>
          <w:ilvl w:val="0"/>
          <w:numId w:val="8"/>
        </w:numPr>
        <w:spacing w:line="276" w:lineRule="auto"/>
        <w:rPr>
          <w:rFonts w:ascii="Verdana" w:hAnsi="Verdana"/>
        </w:rPr>
      </w:pPr>
      <w:r w:rsidRPr="009D0F1F">
        <w:rPr>
          <w:rFonts w:ascii="Verdana" w:hAnsi="Verdana"/>
        </w:rPr>
        <w:t xml:space="preserve">budoucí inflace </w:t>
      </w:r>
      <w:proofErr w:type="spellStart"/>
      <w:r w:rsidRPr="009D0F1F">
        <w:rPr>
          <w:rFonts w:ascii="Verdana" w:hAnsi="Verdana"/>
        </w:rPr>
        <w:t>škodních</w:t>
      </w:r>
      <w:proofErr w:type="spellEnd"/>
      <w:r w:rsidRPr="009D0F1F">
        <w:rPr>
          <w:rFonts w:ascii="Verdana" w:hAnsi="Verdana"/>
        </w:rPr>
        <w:t xml:space="preserve"> nároků</w:t>
      </w:r>
      <w:r w:rsidR="00967B15">
        <w:rPr>
          <w:rFonts w:ascii="Verdana" w:hAnsi="Verdana"/>
        </w:rPr>
        <w:t>,</w:t>
      </w:r>
    </w:p>
    <w:p w:rsidR="00177158" w:rsidRPr="009D0F1F" w:rsidRDefault="00177158" w:rsidP="009D0F1F">
      <w:pPr>
        <w:pStyle w:val="Odstavecseseznamem"/>
        <w:numPr>
          <w:ilvl w:val="0"/>
          <w:numId w:val="8"/>
        </w:numPr>
        <w:spacing w:line="276" w:lineRule="auto"/>
        <w:rPr>
          <w:rFonts w:ascii="Verdana" w:hAnsi="Verdana"/>
        </w:rPr>
      </w:pPr>
      <w:r w:rsidRPr="009D0F1F">
        <w:rPr>
          <w:rFonts w:ascii="Verdana" w:hAnsi="Verdana"/>
        </w:rPr>
        <w:t>schválené legislativní změny relevantní pro výpočet výše závazků</w:t>
      </w:r>
      <w:r w:rsidR="00967B15">
        <w:rPr>
          <w:rFonts w:ascii="Verdana" w:hAnsi="Verdana"/>
        </w:rPr>
        <w:t>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proofErr w:type="spellStart"/>
      <w:r w:rsidRPr="00177158">
        <w:rPr>
          <w:rFonts w:ascii="Verdana" w:hAnsi="Verdana"/>
        </w:rPr>
        <w:t>Aktuár</w:t>
      </w:r>
      <w:proofErr w:type="spellEnd"/>
      <w:r w:rsidRPr="00177158">
        <w:rPr>
          <w:rFonts w:ascii="Verdana" w:hAnsi="Verdana"/>
        </w:rPr>
        <w:t xml:space="preserve"> by dále měl v testu zvážit:</w:t>
      </w:r>
    </w:p>
    <w:p w:rsidR="00177158" w:rsidRPr="009D0F1F" w:rsidRDefault="00177158" w:rsidP="009D0F1F">
      <w:pPr>
        <w:pStyle w:val="Odstavecseseznamem"/>
        <w:numPr>
          <w:ilvl w:val="0"/>
          <w:numId w:val="9"/>
        </w:numPr>
        <w:spacing w:line="276" w:lineRule="auto"/>
        <w:rPr>
          <w:rFonts w:ascii="Verdana" w:hAnsi="Verdana"/>
        </w:rPr>
      </w:pPr>
      <w:r w:rsidRPr="009D0F1F">
        <w:rPr>
          <w:rFonts w:ascii="Verdana" w:hAnsi="Verdana"/>
        </w:rPr>
        <w:t xml:space="preserve">trendy vývoje </w:t>
      </w:r>
      <w:proofErr w:type="spellStart"/>
      <w:r w:rsidRPr="009D0F1F">
        <w:rPr>
          <w:rFonts w:ascii="Verdana" w:hAnsi="Verdana"/>
        </w:rPr>
        <w:t>škodovosti</w:t>
      </w:r>
      <w:proofErr w:type="spellEnd"/>
      <w:r w:rsidRPr="009D0F1F">
        <w:rPr>
          <w:rFonts w:ascii="Verdana" w:hAnsi="Verdana"/>
        </w:rPr>
        <w:t xml:space="preserve"> (trendy ve frekvenci i průměrné škodě)</w:t>
      </w:r>
      <w:r w:rsidR="00967B15">
        <w:rPr>
          <w:rFonts w:ascii="Verdana" w:hAnsi="Verdana"/>
        </w:rPr>
        <w:t>,</w:t>
      </w:r>
    </w:p>
    <w:p w:rsidR="00177158" w:rsidRPr="009D0F1F" w:rsidRDefault="00177158" w:rsidP="009D0F1F">
      <w:pPr>
        <w:pStyle w:val="Odstavecseseznamem"/>
        <w:numPr>
          <w:ilvl w:val="0"/>
          <w:numId w:val="9"/>
        </w:numPr>
        <w:spacing w:line="276" w:lineRule="auto"/>
        <w:rPr>
          <w:rFonts w:ascii="Verdana" w:hAnsi="Verdana"/>
        </w:rPr>
      </w:pPr>
      <w:r w:rsidRPr="009D0F1F">
        <w:rPr>
          <w:rFonts w:ascii="Verdana" w:hAnsi="Verdana"/>
        </w:rPr>
        <w:t>změny ve struktuře portfolia</w:t>
      </w:r>
      <w:r w:rsidR="00967B15">
        <w:rPr>
          <w:rFonts w:ascii="Verdana" w:hAnsi="Verdana"/>
        </w:rPr>
        <w:t>,</w:t>
      </w:r>
    </w:p>
    <w:p w:rsidR="00177158" w:rsidRPr="009D0F1F" w:rsidRDefault="00177158" w:rsidP="009D0F1F">
      <w:pPr>
        <w:pStyle w:val="Odstavecseseznamem"/>
        <w:numPr>
          <w:ilvl w:val="0"/>
          <w:numId w:val="9"/>
        </w:numPr>
        <w:spacing w:line="276" w:lineRule="auto"/>
        <w:rPr>
          <w:rFonts w:ascii="Verdana" w:hAnsi="Verdana"/>
        </w:rPr>
      </w:pPr>
      <w:r w:rsidRPr="009D0F1F">
        <w:rPr>
          <w:rFonts w:ascii="Verdana" w:hAnsi="Verdana"/>
        </w:rPr>
        <w:t>možnou odlišnost chování nového obchodu a obnovených smluv</w:t>
      </w:r>
      <w:r w:rsidR="00967B15">
        <w:rPr>
          <w:rFonts w:ascii="Verdana" w:hAnsi="Verdana"/>
        </w:rPr>
        <w:t>,</w:t>
      </w:r>
    </w:p>
    <w:p w:rsidR="00177158" w:rsidRPr="009D0F1F" w:rsidRDefault="00177158" w:rsidP="009D0F1F">
      <w:pPr>
        <w:pStyle w:val="Odstavecseseznamem"/>
        <w:numPr>
          <w:ilvl w:val="0"/>
          <w:numId w:val="9"/>
        </w:numPr>
        <w:spacing w:line="276" w:lineRule="auto"/>
        <w:rPr>
          <w:rFonts w:ascii="Verdana" w:hAnsi="Verdana"/>
        </w:rPr>
      </w:pPr>
      <w:r w:rsidRPr="009D0F1F">
        <w:rPr>
          <w:rFonts w:ascii="Verdana" w:hAnsi="Verdana"/>
        </w:rPr>
        <w:t>sezónnost škod</w:t>
      </w:r>
      <w:r w:rsidR="00967B15">
        <w:rPr>
          <w:rFonts w:ascii="Verdana" w:hAnsi="Verdana"/>
        </w:rPr>
        <w:t>,</w:t>
      </w:r>
    </w:p>
    <w:p w:rsidR="00177158" w:rsidRPr="009D0F1F" w:rsidRDefault="00177158" w:rsidP="009D0F1F">
      <w:pPr>
        <w:pStyle w:val="Odstavecseseznamem"/>
        <w:numPr>
          <w:ilvl w:val="0"/>
          <w:numId w:val="9"/>
        </w:numPr>
        <w:spacing w:line="276" w:lineRule="auto"/>
        <w:rPr>
          <w:rFonts w:ascii="Verdana" w:hAnsi="Verdana"/>
        </w:rPr>
      </w:pPr>
      <w:r w:rsidRPr="009D0F1F">
        <w:rPr>
          <w:rFonts w:ascii="Verdana" w:hAnsi="Verdana"/>
        </w:rPr>
        <w:t>existenci rozdílných předpokladů pro odhad závazků z předepsaného a nepředepsaného pojistného (například v získatelských nákladech či pří</w:t>
      </w:r>
      <w:r w:rsidR="00967B15">
        <w:rPr>
          <w:rFonts w:ascii="Verdana" w:hAnsi="Verdana"/>
        </w:rPr>
        <w:t>spěvcích do Fondu zábrany škod),</w:t>
      </w:r>
    </w:p>
    <w:p w:rsidR="00177158" w:rsidRPr="009D0F1F" w:rsidRDefault="00177158" w:rsidP="009D0F1F">
      <w:pPr>
        <w:pStyle w:val="Odstavecseseznamem"/>
        <w:numPr>
          <w:ilvl w:val="0"/>
          <w:numId w:val="9"/>
        </w:numPr>
        <w:spacing w:line="276" w:lineRule="auto"/>
        <w:rPr>
          <w:rFonts w:ascii="Verdana" w:hAnsi="Verdana"/>
        </w:rPr>
      </w:pPr>
      <w:r w:rsidRPr="009D0F1F">
        <w:rPr>
          <w:rFonts w:ascii="Verdana" w:hAnsi="Verdana"/>
        </w:rPr>
        <w:t>sezónnost předpokladů pro katastrofické škody</w:t>
      </w:r>
      <w:r w:rsidR="00967B15">
        <w:rPr>
          <w:rFonts w:ascii="Verdana" w:hAnsi="Verdana"/>
        </w:rPr>
        <w:t>,</w:t>
      </w:r>
    </w:p>
    <w:p w:rsidR="00177158" w:rsidRPr="009D0F1F" w:rsidRDefault="00177158" w:rsidP="009D0F1F">
      <w:pPr>
        <w:pStyle w:val="Odstavecseseznamem"/>
        <w:numPr>
          <w:ilvl w:val="0"/>
          <w:numId w:val="9"/>
        </w:numPr>
        <w:spacing w:line="276" w:lineRule="auto"/>
        <w:rPr>
          <w:rFonts w:ascii="Verdana" w:hAnsi="Verdana"/>
        </w:rPr>
      </w:pPr>
      <w:r w:rsidRPr="009D0F1F">
        <w:rPr>
          <w:rFonts w:ascii="Verdana" w:hAnsi="Verdana"/>
        </w:rPr>
        <w:t>vliv storen uvnitř pojistného období na reálnou hodnotu finančních přítoků</w:t>
      </w:r>
      <w:r w:rsidR="00967B15">
        <w:rPr>
          <w:rFonts w:ascii="Verdana" w:hAnsi="Verdana"/>
        </w:rPr>
        <w:t>,</w:t>
      </w:r>
    </w:p>
    <w:p w:rsidR="00177158" w:rsidRPr="009D0F1F" w:rsidRDefault="00177158" w:rsidP="009D0F1F">
      <w:pPr>
        <w:pStyle w:val="Odstavecseseznamem"/>
        <w:numPr>
          <w:ilvl w:val="0"/>
          <w:numId w:val="9"/>
        </w:numPr>
        <w:spacing w:line="276" w:lineRule="auto"/>
        <w:rPr>
          <w:rFonts w:ascii="Verdana" w:hAnsi="Verdana"/>
        </w:rPr>
      </w:pPr>
      <w:r w:rsidRPr="009D0F1F">
        <w:rPr>
          <w:rFonts w:ascii="Verdana" w:hAnsi="Verdana"/>
        </w:rPr>
        <w:t>odlišnost chování rentových škod, extrémních a katastrofických škod od škod běžných</w:t>
      </w:r>
      <w:r w:rsidR="00967B15">
        <w:rPr>
          <w:rFonts w:ascii="Verdana" w:hAnsi="Verdana"/>
        </w:rPr>
        <w:t>.</w:t>
      </w:r>
    </w:p>
    <w:p w:rsidR="00177158" w:rsidRPr="00DF4D0B" w:rsidRDefault="00177158" w:rsidP="009D0F1F">
      <w:pPr>
        <w:pStyle w:val="Odstavecseseznamem"/>
        <w:numPr>
          <w:ilvl w:val="0"/>
          <w:numId w:val="3"/>
        </w:numPr>
        <w:spacing w:line="276" w:lineRule="auto"/>
        <w:ind w:left="357" w:hanging="357"/>
        <w:rPr>
          <w:rFonts w:ascii="Verdana" w:hAnsi="Verdana"/>
          <w:b/>
        </w:rPr>
      </w:pPr>
      <w:r w:rsidRPr="00DF4D0B">
        <w:rPr>
          <w:rFonts w:ascii="Verdana" w:hAnsi="Verdana"/>
          <w:b/>
        </w:rPr>
        <w:t>Frekvence testování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lastRenderedPageBreak/>
        <w:t>Jak vyplývá z [2], výše technických rezerv musí být v každém okamžiku dostatečná do té míry, aby společnost byla schopna dostát svým závazkům, které vyplývají z pojistných smluv a které lze rozumně předpokládat.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Zákon ani související vyhlášky takto vymezenou postačitelnost rezerv podrobněji neupravují. Test postačitelnosti se provádí vždy minimálně jednou ročně k okamžiku roční účetní závěrky. V případě provádění testu k jinému datu než k datu roční účetní závěrky je nutné adekvátně zohlednit případné metodické rozdíly vyplývající z neukončeného účetního období.    </w:t>
      </w:r>
    </w:p>
    <w:p w:rsidR="00177158" w:rsidRPr="00DF4D0B" w:rsidRDefault="00177158" w:rsidP="009D0F1F">
      <w:pPr>
        <w:pStyle w:val="Odstavecseseznamem"/>
        <w:numPr>
          <w:ilvl w:val="0"/>
          <w:numId w:val="3"/>
        </w:numPr>
        <w:spacing w:line="276" w:lineRule="auto"/>
        <w:ind w:left="357" w:hanging="357"/>
        <w:rPr>
          <w:rFonts w:ascii="Verdana" w:hAnsi="Verdana"/>
          <w:b/>
        </w:rPr>
      </w:pPr>
      <w:r w:rsidRPr="00DF4D0B">
        <w:rPr>
          <w:rFonts w:ascii="Verdana" w:hAnsi="Verdana"/>
          <w:b/>
        </w:rPr>
        <w:t>Zjednodušení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Tato směrnice připouští zjednodušení dvojího typu.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V prvním případě se jedná o zjednodušení pro výpočetní segmenty s relativně malými objemy závazků či s objektivními nedostatky v datech, na kterých není rozumné samostatně aplikovat pojistně-matematické metody. V těchto případech lze například zvolit méně podrobnou segmentaci, než je vyžadováno v bodě 6b, a tak například na úkor relativně malé ztráty homogenity sloučit tyto segmenty s jinými. V těchto případech lze použít i jiný </w:t>
      </w:r>
      <w:proofErr w:type="spellStart"/>
      <w:r w:rsidRPr="00177158">
        <w:rPr>
          <w:rFonts w:ascii="Verdana" w:hAnsi="Verdana"/>
        </w:rPr>
        <w:t>aktuárský</w:t>
      </w:r>
      <w:proofErr w:type="spellEnd"/>
      <w:r w:rsidRPr="00177158">
        <w:rPr>
          <w:rFonts w:ascii="Verdana" w:hAnsi="Verdana"/>
        </w:rPr>
        <w:t xml:space="preserve"> úsudek k posouzení přiměřenosti. Při takovémto zjednodušení by měl </w:t>
      </w:r>
      <w:proofErr w:type="spellStart"/>
      <w:r w:rsidRPr="00177158">
        <w:rPr>
          <w:rFonts w:ascii="Verdana" w:hAnsi="Verdana"/>
        </w:rPr>
        <w:t>aktuár</w:t>
      </w:r>
      <w:proofErr w:type="spellEnd"/>
      <w:r w:rsidRPr="00177158">
        <w:rPr>
          <w:rFonts w:ascii="Verdana" w:hAnsi="Verdana"/>
        </w:rPr>
        <w:t xml:space="preserve"> odhadnout a zdokumentovat jeho dopad.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Druhým typem zjednodušení je případ, kdy prokazatelně opatrné zjednodušení dokazuje postačitelnost rezervy. V tomto případě je možné takovéto zjednodušení použít bez nutného vyčíslení jeho dopadu.</w:t>
      </w:r>
    </w:p>
    <w:p w:rsidR="00177158" w:rsidRPr="00DF4D0B" w:rsidRDefault="00177158" w:rsidP="009D0F1F">
      <w:pPr>
        <w:pStyle w:val="Odstavecseseznamem"/>
        <w:numPr>
          <w:ilvl w:val="0"/>
          <w:numId w:val="3"/>
        </w:numPr>
        <w:spacing w:line="276" w:lineRule="auto"/>
        <w:ind w:left="357" w:hanging="357"/>
        <w:rPr>
          <w:rFonts w:ascii="Verdana" w:hAnsi="Verdana"/>
          <w:b/>
        </w:rPr>
      </w:pPr>
      <w:r w:rsidRPr="00DF4D0B">
        <w:rPr>
          <w:rFonts w:ascii="Verdana" w:hAnsi="Verdana"/>
          <w:b/>
        </w:rPr>
        <w:t>Definice postačitelnosti a kroky při nepostačitelnosti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Účetní neživotní technické rezervy jsou v daném segmentu (viz bod 6a) z definice nepostačitelné, pokud je účetní hodnota pojistných závazků v tomto segmentu (definice A v bodě 3) nižší, nežli odhad budoucích peněžních toků plynoucí z uzavřených pojistných smluv v tomto segmentu (definice B v bodě 3)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Postačitelnost stačí vyhodnocovat souhrnně na segmentech definovaných v bodě 6a), ačkoliv detail zobrazení výsledků pro účely dokumentace může být dle bodu 6c) této směrnice vyšší. 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V případě, že test prokáže nepostačitelnost účetních rezerv vzhledem k očekávaným peněžním tokům na úrovni jednoho nebo více segmentů definovaných v bodě 6a), je </w:t>
      </w:r>
      <w:proofErr w:type="spellStart"/>
      <w:r w:rsidRPr="00177158">
        <w:rPr>
          <w:rFonts w:ascii="Verdana" w:hAnsi="Verdana"/>
        </w:rPr>
        <w:t>aktuár</w:t>
      </w:r>
      <w:proofErr w:type="spellEnd"/>
      <w:r w:rsidRPr="00177158">
        <w:rPr>
          <w:rFonts w:ascii="Verdana" w:hAnsi="Verdana"/>
        </w:rPr>
        <w:t xml:space="preserve"> povinen upozornit společnost a navrhnout opatření v návaznosti na toto zjištění (např. navýšení rezerv, tvorba jiné rezervy, snížení časového rozlišení pořizovacích nákladů) v souladu s účetní politikou společnosti.  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V případě, že nepostačitelnost vychází pouze na </w:t>
      </w:r>
      <w:proofErr w:type="gramStart"/>
      <w:r w:rsidRPr="00177158">
        <w:rPr>
          <w:rFonts w:ascii="Verdana" w:hAnsi="Verdana"/>
        </w:rPr>
        <w:t>úrovni  dílčích</w:t>
      </w:r>
      <w:proofErr w:type="gramEnd"/>
      <w:r w:rsidRPr="00177158">
        <w:rPr>
          <w:rFonts w:ascii="Verdana" w:hAnsi="Verdana"/>
        </w:rPr>
        <w:t xml:space="preserve"> výpočetních segmentů, jedná se o závažné zjištění, které by mělo být součástí zprávy o testu postačitelnosti rezerv (viz bod 14). 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Je-li výsledkem testu postačitelnost rezerv, nedochází ke snížení neživotních technických rezerv.</w:t>
      </w:r>
    </w:p>
    <w:p w:rsidR="00177158" w:rsidRPr="00DF4D0B" w:rsidRDefault="00177158" w:rsidP="009D0F1F">
      <w:pPr>
        <w:pStyle w:val="Odstavecseseznamem"/>
        <w:numPr>
          <w:ilvl w:val="0"/>
          <w:numId w:val="3"/>
        </w:numPr>
        <w:spacing w:line="276" w:lineRule="auto"/>
        <w:ind w:left="357" w:hanging="357"/>
        <w:rPr>
          <w:rFonts w:ascii="Verdana" w:hAnsi="Verdana"/>
          <w:b/>
        </w:rPr>
      </w:pPr>
      <w:r w:rsidRPr="00DF4D0B">
        <w:rPr>
          <w:rFonts w:ascii="Verdana" w:hAnsi="Verdana"/>
          <w:b/>
        </w:rPr>
        <w:t>Požadavky na dokumentaci</w:t>
      </w:r>
    </w:p>
    <w:p w:rsidR="00177158" w:rsidRPr="00177158" w:rsidRDefault="00177158" w:rsidP="00967B15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Výsledkem testu by měla být písemná zpráva obsahující výrok o (ne)postačitelnosti rezerv, dokumentaci výsledků a způsobu jejich testování. Dokumentace by měla být v souladu s článkem 4 v SAP 1 [6].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lastRenderedPageBreak/>
        <w:t>Součástí dokumentace výsledků testu by mělo být:</w:t>
      </w:r>
    </w:p>
    <w:p w:rsidR="00177158" w:rsidRPr="00967B15" w:rsidRDefault="00177158" w:rsidP="00967B15">
      <w:pPr>
        <w:pStyle w:val="Odstavecseseznamem"/>
        <w:numPr>
          <w:ilvl w:val="0"/>
          <w:numId w:val="10"/>
        </w:numPr>
        <w:spacing w:line="276" w:lineRule="auto"/>
        <w:rPr>
          <w:rFonts w:ascii="Verdana" w:hAnsi="Verdana"/>
        </w:rPr>
      </w:pPr>
      <w:r w:rsidRPr="00967B15">
        <w:rPr>
          <w:rFonts w:ascii="Verdana" w:hAnsi="Verdana"/>
        </w:rPr>
        <w:t>vyjádření ke všem závažným zjištěním v průběhu testování,</w:t>
      </w:r>
    </w:p>
    <w:p w:rsidR="00967B15" w:rsidRDefault="00177158" w:rsidP="00967B15">
      <w:pPr>
        <w:pStyle w:val="Odstavecseseznamem"/>
        <w:numPr>
          <w:ilvl w:val="0"/>
          <w:numId w:val="10"/>
        </w:numPr>
        <w:spacing w:line="276" w:lineRule="auto"/>
        <w:rPr>
          <w:rFonts w:ascii="Verdana" w:hAnsi="Verdana"/>
        </w:rPr>
      </w:pPr>
      <w:r w:rsidRPr="00967B15">
        <w:rPr>
          <w:rFonts w:ascii="Verdana" w:hAnsi="Verdana"/>
        </w:rPr>
        <w:t>kvalitativní zhodnocení výpočetního modelu pro testování postačitelnosti a jeho rizik,</w:t>
      </w:r>
    </w:p>
    <w:p w:rsidR="00967B15" w:rsidRDefault="00177158" w:rsidP="00967B15">
      <w:pPr>
        <w:pStyle w:val="Odstavecseseznamem"/>
        <w:numPr>
          <w:ilvl w:val="0"/>
          <w:numId w:val="10"/>
        </w:numPr>
        <w:spacing w:line="276" w:lineRule="auto"/>
        <w:rPr>
          <w:rFonts w:ascii="Verdana" w:hAnsi="Verdana"/>
        </w:rPr>
      </w:pPr>
      <w:r w:rsidRPr="00967B15">
        <w:rPr>
          <w:rFonts w:ascii="Verdana" w:hAnsi="Verdana"/>
        </w:rPr>
        <w:t>zhodnocení platnosti předpokladů (bod 10) včetně citlivosti výsledku (postačitelnost ano/ne) na jejich změnu</w:t>
      </w:r>
      <w:r w:rsidR="00967B15">
        <w:rPr>
          <w:rFonts w:ascii="Verdana" w:hAnsi="Verdana"/>
        </w:rPr>
        <w:t>,</w:t>
      </w:r>
    </w:p>
    <w:p w:rsidR="00967B15" w:rsidRDefault="00177158" w:rsidP="00967B15">
      <w:pPr>
        <w:pStyle w:val="Odstavecseseznamem"/>
        <w:numPr>
          <w:ilvl w:val="0"/>
          <w:numId w:val="10"/>
        </w:numPr>
        <w:spacing w:line="276" w:lineRule="auto"/>
        <w:rPr>
          <w:rFonts w:ascii="Verdana" w:hAnsi="Verdana"/>
        </w:rPr>
      </w:pPr>
      <w:r w:rsidRPr="00967B15">
        <w:rPr>
          <w:rFonts w:ascii="Verdana" w:hAnsi="Verdana"/>
        </w:rPr>
        <w:t>způsob alokace nákladů,</w:t>
      </w:r>
    </w:p>
    <w:p w:rsidR="00967B15" w:rsidRDefault="00967B15" w:rsidP="00967B15">
      <w:pPr>
        <w:pStyle w:val="Odstavecseseznamem"/>
        <w:numPr>
          <w:ilvl w:val="0"/>
          <w:numId w:val="10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použitá zjednodušení (bod 12),</w:t>
      </w:r>
    </w:p>
    <w:p w:rsidR="00967B15" w:rsidRDefault="00177158" w:rsidP="00967B15">
      <w:pPr>
        <w:pStyle w:val="Odstavecseseznamem"/>
        <w:numPr>
          <w:ilvl w:val="0"/>
          <w:numId w:val="10"/>
        </w:numPr>
        <w:spacing w:line="276" w:lineRule="auto"/>
        <w:rPr>
          <w:rFonts w:ascii="Verdana" w:hAnsi="Verdana"/>
        </w:rPr>
      </w:pPr>
      <w:r w:rsidRPr="00967B15">
        <w:rPr>
          <w:rFonts w:ascii="Verdana" w:hAnsi="Verdana"/>
        </w:rPr>
        <w:t>vyjádření k riz</w:t>
      </w:r>
      <w:r w:rsidR="00967B15">
        <w:rPr>
          <w:rFonts w:ascii="Verdana" w:hAnsi="Verdana"/>
        </w:rPr>
        <w:t>iku latentních událostí (ENID),</w:t>
      </w:r>
    </w:p>
    <w:p w:rsidR="00177158" w:rsidRPr="00967B15" w:rsidRDefault="00177158" w:rsidP="00967B15">
      <w:pPr>
        <w:pStyle w:val="Odstavecseseznamem"/>
        <w:numPr>
          <w:ilvl w:val="0"/>
          <w:numId w:val="10"/>
        </w:numPr>
        <w:spacing w:line="276" w:lineRule="auto"/>
        <w:rPr>
          <w:rFonts w:ascii="Verdana" w:hAnsi="Verdana"/>
        </w:rPr>
      </w:pPr>
      <w:r w:rsidRPr="00967B15">
        <w:rPr>
          <w:rFonts w:ascii="Verdana" w:hAnsi="Verdana"/>
        </w:rPr>
        <w:t>zhodnocení datové kvality.</w:t>
      </w:r>
    </w:p>
    <w:p w:rsidR="00967B15" w:rsidRDefault="00177158" w:rsidP="00967B15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Metodika testu by měla být zdokumentována v písemné formě, a to včetně:</w:t>
      </w:r>
    </w:p>
    <w:p w:rsidR="00967B15" w:rsidRDefault="00177158" w:rsidP="00967B15">
      <w:pPr>
        <w:pStyle w:val="Odstavecseseznamem"/>
        <w:numPr>
          <w:ilvl w:val="0"/>
          <w:numId w:val="11"/>
        </w:numPr>
        <w:spacing w:line="276" w:lineRule="auto"/>
        <w:rPr>
          <w:rFonts w:ascii="Verdana" w:hAnsi="Verdana"/>
        </w:rPr>
      </w:pPr>
      <w:r w:rsidRPr="00967B15">
        <w:rPr>
          <w:rFonts w:ascii="Verdana" w:hAnsi="Verdana"/>
        </w:rPr>
        <w:t>metodiky odhadu hodnoty budoucích peněžních toků (bod 5) použitého v testu (tzn. včetně případné rizikové přirážky, je-li v odhadu obsažena), včetně zvolené segmentace pro výpočet (6a)</w:t>
      </w:r>
      <w:r w:rsidR="00967B15">
        <w:rPr>
          <w:rFonts w:ascii="Verdana" w:hAnsi="Verdana"/>
        </w:rPr>
        <w:t>,</w:t>
      </w:r>
    </w:p>
    <w:p w:rsidR="00967B15" w:rsidRDefault="00177158" w:rsidP="00967B15">
      <w:pPr>
        <w:pStyle w:val="Odstavecseseznamem"/>
        <w:numPr>
          <w:ilvl w:val="0"/>
          <w:numId w:val="11"/>
        </w:numPr>
        <w:spacing w:line="276" w:lineRule="auto"/>
        <w:rPr>
          <w:rFonts w:ascii="Verdana" w:hAnsi="Verdana"/>
        </w:rPr>
      </w:pPr>
      <w:r w:rsidRPr="00967B15">
        <w:rPr>
          <w:rFonts w:ascii="Verdana" w:hAnsi="Verdana"/>
        </w:rPr>
        <w:t>metodiky stanovení předpokladů (10)</w:t>
      </w:r>
      <w:r w:rsidR="00967B15">
        <w:rPr>
          <w:rFonts w:ascii="Verdana" w:hAnsi="Verdana"/>
        </w:rPr>
        <w:t>,</w:t>
      </w:r>
    </w:p>
    <w:p w:rsidR="00967B15" w:rsidRDefault="00177158" w:rsidP="00967B15">
      <w:pPr>
        <w:pStyle w:val="Odstavecseseznamem"/>
        <w:numPr>
          <w:ilvl w:val="0"/>
          <w:numId w:val="11"/>
        </w:numPr>
        <w:spacing w:line="276" w:lineRule="auto"/>
        <w:rPr>
          <w:rFonts w:ascii="Verdana" w:hAnsi="Verdana"/>
        </w:rPr>
      </w:pPr>
      <w:r w:rsidRPr="00967B15">
        <w:rPr>
          <w:rFonts w:ascii="Verdana" w:hAnsi="Verdana"/>
        </w:rPr>
        <w:t>kritéria vyhodnocení postačitelnosti, včetně segmentace použité v tomto vyhodnocení</w:t>
      </w:r>
      <w:r w:rsidR="00967B15">
        <w:rPr>
          <w:rFonts w:ascii="Verdana" w:hAnsi="Verdana"/>
        </w:rPr>
        <w:t>,</w:t>
      </w:r>
    </w:p>
    <w:p w:rsidR="00967B15" w:rsidRDefault="00177158" w:rsidP="00967B15">
      <w:pPr>
        <w:pStyle w:val="Odstavecseseznamem"/>
        <w:numPr>
          <w:ilvl w:val="0"/>
          <w:numId w:val="11"/>
        </w:numPr>
        <w:spacing w:line="276" w:lineRule="auto"/>
        <w:rPr>
          <w:rFonts w:ascii="Verdana" w:hAnsi="Verdana"/>
        </w:rPr>
      </w:pPr>
      <w:r w:rsidRPr="00967B15">
        <w:rPr>
          <w:rFonts w:ascii="Verdana" w:hAnsi="Verdana"/>
        </w:rPr>
        <w:t>postupu, který byl případně uplatněn k odstranění nepostačitelnosti rezerv, včetně metod určení výše rozpuštění odložených pořizovacích nákladů či výše dotvářené rezervy vyrov</w:t>
      </w:r>
      <w:r w:rsidR="00967B15">
        <w:rPr>
          <w:rFonts w:ascii="Verdana" w:hAnsi="Verdana"/>
        </w:rPr>
        <w:t>návající tuto nepostačitelnost,</w:t>
      </w:r>
    </w:p>
    <w:p w:rsidR="00177158" w:rsidRPr="00967B15" w:rsidRDefault="00177158" w:rsidP="00967B15">
      <w:pPr>
        <w:pStyle w:val="Odstavecseseznamem"/>
        <w:numPr>
          <w:ilvl w:val="0"/>
          <w:numId w:val="11"/>
        </w:numPr>
        <w:spacing w:line="276" w:lineRule="auto"/>
        <w:rPr>
          <w:rFonts w:ascii="Verdana" w:hAnsi="Verdana"/>
        </w:rPr>
      </w:pPr>
      <w:r w:rsidRPr="00967B15">
        <w:rPr>
          <w:rFonts w:ascii="Verdana" w:hAnsi="Verdana"/>
        </w:rPr>
        <w:t>včetně popisu provedených změn metodiky testu.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Každý vykonavatel testu postačitelnosti rezerv by se měl vyjádřit, </w:t>
      </w:r>
      <w:proofErr w:type="gramStart"/>
      <w:r w:rsidRPr="00177158">
        <w:rPr>
          <w:rFonts w:ascii="Verdana" w:hAnsi="Verdana"/>
        </w:rPr>
        <w:t>zda-</w:t>
      </w:r>
      <w:proofErr w:type="spellStart"/>
      <w:r w:rsidRPr="00177158">
        <w:rPr>
          <w:rFonts w:ascii="Verdana" w:hAnsi="Verdana"/>
        </w:rPr>
        <w:t>li</w:t>
      </w:r>
      <w:proofErr w:type="spellEnd"/>
      <w:r w:rsidRPr="00177158">
        <w:rPr>
          <w:rFonts w:ascii="Verdana" w:hAnsi="Verdana"/>
        </w:rPr>
        <w:t xml:space="preserve"> test</w:t>
      </w:r>
      <w:proofErr w:type="gramEnd"/>
      <w:r w:rsidRPr="00177158">
        <w:rPr>
          <w:rFonts w:ascii="Verdana" w:hAnsi="Verdana"/>
        </w:rPr>
        <w:t xml:space="preserve"> vykonal v souladu s touto směrnicí, a případné odchylky od směrnice je povinen popsat v kvalitativní části testu.</w:t>
      </w:r>
    </w:p>
    <w:p w:rsidR="00177158" w:rsidRPr="00DF4D0B" w:rsidRDefault="00177158" w:rsidP="009D0F1F">
      <w:pPr>
        <w:pStyle w:val="Odstavecseseznamem"/>
        <w:numPr>
          <w:ilvl w:val="0"/>
          <w:numId w:val="3"/>
        </w:numPr>
        <w:spacing w:line="276" w:lineRule="auto"/>
        <w:ind w:left="357" w:hanging="357"/>
        <w:rPr>
          <w:rFonts w:ascii="Verdana" w:hAnsi="Verdana"/>
          <w:b/>
        </w:rPr>
      </w:pPr>
      <w:r w:rsidRPr="00DF4D0B">
        <w:rPr>
          <w:rFonts w:ascii="Verdana" w:hAnsi="Verdana"/>
          <w:b/>
        </w:rPr>
        <w:t>Legislativa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 [1] Zákon č. 563/1991 Sb., o účetnictví, ve znění pozdějších předpisů (dále jen „zákon o účetnictví“)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[2] Vyhláška č. 502/2002 Sb., kterou se provádějí některá ustanovení zákona č. 563/1991 Sb., o účetnictví, ve znění pozdějších předpisů, pro účetní jednotky, které jsou pojišťovnami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9D0F1F">
        <w:rPr>
          <w:rFonts w:ascii="Verdana" w:hAnsi="Verdana"/>
          <w:highlight w:val="yellow"/>
        </w:rPr>
        <w:t>[3] Zákon č. 277/2009 Sb., o pojišťovnictví, ve znění pozdějších předpisů (dále jen „zákon o pojišťovnictví“)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[4] Zákon č. 168/1999 Sb., o pojištění odpovědnosti za škodu způsobenou provozem vozidla, ve znění pozdějších předpisů (dále jen „zákon o povinném ručení“)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[5] International </w:t>
      </w:r>
      <w:proofErr w:type="spellStart"/>
      <w:r w:rsidRPr="00177158">
        <w:rPr>
          <w:rFonts w:ascii="Verdana" w:hAnsi="Verdana"/>
        </w:rPr>
        <w:t>Financial</w:t>
      </w:r>
      <w:proofErr w:type="spellEnd"/>
      <w:r w:rsidRPr="00177158">
        <w:rPr>
          <w:rFonts w:ascii="Verdana" w:hAnsi="Verdana"/>
        </w:rPr>
        <w:t xml:space="preserve"> Reporting Standard 4, vydaný International </w:t>
      </w:r>
      <w:proofErr w:type="spellStart"/>
      <w:r w:rsidRPr="00177158">
        <w:rPr>
          <w:rFonts w:ascii="Verdana" w:hAnsi="Verdana"/>
        </w:rPr>
        <w:t>Accounting</w:t>
      </w:r>
      <w:proofErr w:type="spellEnd"/>
      <w:r w:rsidRPr="00177158">
        <w:rPr>
          <w:rFonts w:ascii="Verdana" w:hAnsi="Verdana"/>
        </w:rPr>
        <w:t xml:space="preserve"> </w:t>
      </w:r>
      <w:proofErr w:type="spellStart"/>
      <w:r w:rsidRPr="00177158">
        <w:rPr>
          <w:rFonts w:ascii="Verdana" w:hAnsi="Verdana"/>
        </w:rPr>
        <w:t>Standards</w:t>
      </w:r>
      <w:proofErr w:type="spellEnd"/>
      <w:r w:rsidRPr="00177158">
        <w:rPr>
          <w:rFonts w:ascii="Verdana" w:hAnsi="Verdana"/>
        </w:rPr>
        <w:t xml:space="preserve"> </w:t>
      </w:r>
      <w:proofErr w:type="spellStart"/>
      <w:r w:rsidRPr="00177158">
        <w:rPr>
          <w:rFonts w:ascii="Verdana" w:hAnsi="Verdana"/>
        </w:rPr>
        <w:t>Board</w:t>
      </w:r>
      <w:proofErr w:type="spellEnd"/>
      <w:r w:rsidRPr="00177158">
        <w:rPr>
          <w:rFonts w:ascii="Verdana" w:hAnsi="Verdana"/>
        </w:rPr>
        <w:t xml:space="preserve"> („IFRS 4“)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 xml:space="preserve">[6] International </w:t>
      </w:r>
      <w:proofErr w:type="spellStart"/>
      <w:r w:rsidRPr="00177158">
        <w:rPr>
          <w:rFonts w:ascii="Verdana" w:hAnsi="Verdana"/>
        </w:rPr>
        <w:t>Accounting</w:t>
      </w:r>
      <w:proofErr w:type="spellEnd"/>
      <w:r w:rsidRPr="00177158">
        <w:rPr>
          <w:rFonts w:ascii="Verdana" w:hAnsi="Verdana"/>
        </w:rPr>
        <w:t xml:space="preserve"> Standard 37, vydaný International </w:t>
      </w:r>
      <w:proofErr w:type="spellStart"/>
      <w:r w:rsidRPr="00177158">
        <w:rPr>
          <w:rFonts w:ascii="Verdana" w:hAnsi="Verdana"/>
        </w:rPr>
        <w:t>Accounting</w:t>
      </w:r>
      <w:proofErr w:type="spellEnd"/>
      <w:r w:rsidRPr="00177158">
        <w:rPr>
          <w:rFonts w:ascii="Verdana" w:hAnsi="Verdana"/>
        </w:rPr>
        <w:t xml:space="preserve"> </w:t>
      </w:r>
      <w:proofErr w:type="spellStart"/>
      <w:r w:rsidRPr="00177158">
        <w:rPr>
          <w:rFonts w:ascii="Verdana" w:hAnsi="Verdana"/>
        </w:rPr>
        <w:t>Standards</w:t>
      </w:r>
      <w:proofErr w:type="spellEnd"/>
      <w:r w:rsidRPr="00177158">
        <w:rPr>
          <w:rFonts w:ascii="Verdana" w:hAnsi="Verdana"/>
        </w:rPr>
        <w:t xml:space="preserve"> </w:t>
      </w:r>
      <w:proofErr w:type="spellStart"/>
      <w:r w:rsidRPr="00177158">
        <w:rPr>
          <w:rFonts w:ascii="Verdana" w:hAnsi="Verdana"/>
        </w:rPr>
        <w:t>Board</w:t>
      </w:r>
      <w:proofErr w:type="spellEnd"/>
      <w:r w:rsidRPr="00177158">
        <w:rPr>
          <w:rFonts w:ascii="Verdana" w:hAnsi="Verdana"/>
        </w:rPr>
        <w:t xml:space="preserve"> („IAS 37“) 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r w:rsidRPr="00177158">
        <w:rPr>
          <w:rFonts w:ascii="Verdana" w:hAnsi="Verdana"/>
        </w:rPr>
        <w:t>[6] SAP1</w:t>
      </w: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  <w:bookmarkStart w:id="0" w:name="_GoBack"/>
      <w:bookmarkEnd w:id="0"/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</w:p>
    <w:p w:rsidR="00177158" w:rsidRPr="00177158" w:rsidRDefault="00177158" w:rsidP="009D0F1F">
      <w:pPr>
        <w:spacing w:line="276" w:lineRule="auto"/>
        <w:rPr>
          <w:rFonts w:ascii="Verdana" w:hAnsi="Verdana"/>
        </w:rPr>
      </w:pPr>
    </w:p>
    <w:p w:rsidR="00B84D9C" w:rsidRPr="00177158" w:rsidRDefault="00B84D9C" w:rsidP="009D0F1F">
      <w:pPr>
        <w:spacing w:line="276" w:lineRule="auto"/>
        <w:rPr>
          <w:rFonts w:ascii="Verdana" w:hAnsi="Verdana"/>
        </w:rPr>
      </w:pPr>
    </w:p>
    <w:sectPr w:rsidR="00B84D9C" w:rsidRPr="00177158" w:rsidSect="00F33A2A">
      <w:pgSz w:w="11909" w:h="16834" w:code="9"/>
      <w:pgMar w:top="1296" w:right="720" w:bottom="1418" w:left="1418" w:header="706" w:footer="10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21" w:rsidRDefault="00297021">
      <w:r>
        <w:separator/>
      </w:r>
    </w:p>
  </w:endnote>
  <w:endnote w:type="continuationSeparator" w:id="0">
    <w:p w:rsidR="00297021" w:rsidRDefault="0029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21" w:rsidRDefault="00297021">
      <w:r>
        <w:separator/>
      </w:r>
    </w:p>
  </w:footnote>
  <w:footnote w:type="continuationSeparator" w:id="0">
    <w:p w:rsidR="00297021" w:rsidRDefault="0029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23D"/>
    <w:multiLevelType w:val="hybridMultilevel"/>
    <w:tmpl w:val="35CE6ACC"/>
    <w:lvl w:ilvl="0" w:tplc="6E6C9614">
      <w:start w:val="1"/>
      <w:numFmt w:val="lowerLetter"/>
      <w:lvlText w:val="%1)"/>
      <w:lvlJc w:val="left"/>
      <w:pPr>
        <w:ind w:left="700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1F26CC5"/>
    <w:multiLevelType w:val="hybridMultilevel"/>
    <w:tmpl w:val="8E6C624C"/>
    <w:lvl w:ilvl="0" w:tplc="D6ECA66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A1F18A0"/>
    <w:multiLevelType w:val="hybridMultilevel"/>
    <w:tmpl w:val="62389AE4"/>
    <w:lvl w:ilvl="0" w:tplc="083E9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B208E"/>
    <w:multiLevelType w:val="hybridMultilevel"/>
    <w:tmpl w:val="3908407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CE27DAC"/>
    <w:multiLevelType w:val="singleLevel"/>
    <w:tmpl w:val="6D12A7BA"/>
    <w:lvl w:ilvl="0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420917B6"/>
    <w:multiLevelType w:val="hybridMultilevel"/>
    <w:tmpl w:val="F146BA1A"/>
    <w:lvl w:ilvl="0" w:tplc="1D5E1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EB0FA3"/>
    <w:multiLevelType w:val="hybridMultilevel"/>
    <w:tmpl w:val="0E3A139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67B83DAA"/>
    <w:multiLevelType w:val="hybridMultilevel"/>
    <w:tmpl w:val="B16E4A8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6A2F6E42"/>
    <w:multiLevelType w:val="hybridMultilevel"/>
    <w:tmpl w:val="52248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E0B54"/>
    <w:multiLevelType w:val="hybridMultilevel"/>
    <w:tmpl w:val="A1A6EEB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58"/>
    <w:rsid w:val="000C357C"/>
    <w:rsid w:val="000E142F"/>
    <w:rsid w:val="000E4913"/>
    <w:rsid w:val="001607E8"/>
    <w:rsid w:val="00177158"/>
    <w:rsid w:val="001C4881"/>
    <w:rsid w:val="00214BC3"/>
    <w:rsid w:val="00255BF8"/>
    <w:rsid w:val="00297021"/>
    <w:rsid w:val="00310D23"/>
    <w:rsid w:val="00325B0A"/>
    <w:rsid w:val="00336D8C"/>
    <w:rsid w:val="003901F5"/>
    <w:rsid w:val="003E52C6"/>
    <w:rsid w:val="00403DE2"/>
    <w:rsid w:val="00490C1C"/>
    <w:rsid w:val="00566428"/>
    <w:rsid w:val="005D2222"/>
    <w:rsid w:val="00761FB8"/>
    <w:rsid w:val="00787AA7"/>
    <w:rsid w:val="007A2B1F"/>
    <w:rsid w:val="008F2C84"/>
    <w:rsid w:val="00967B15"/>
    <w:rsid w:val="009A1528"/>
    <w:rsid w:val="009D0F1F"/>
    <w:rsid w:val="00A03553"/>
    <w:rsid w:val="00A323C4"/>
    <w:rsid w:val="00A6360B"/>
    <w:rsid w:val="00B84D9C"/>
    <w:rsid w:val="00BE4D07"/>
    <w:rsid w:val="00C5491B"/>
    <w:rsid w:val="00CC7D35"/>
    <w:rsid w:val="00D421CB"/>
    <w:rsid w:val="00DF37C5"/>
    <w:rsid w:val="00DF4D0B"/>
    <w:rsid w:val="00E07E39"/>
    <w:rsid w:val="00E478F4"/>
    <w:rsid w:val="00EF5EBF"/>
    <w:rsid w:val="00F33A2A"/>
    <w:rsid w:val="00F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158"/>
    <w:pPr>
      <w:spacing w:before="100" w:after="200"/>
      <w:ind w:left="340"/>
    </w:pPr>
  </w:style>
  <w:style w:type="paragraph" w:styleId="Nadpis1">
    <w:name w:val="heading 1"/>
    <w:basedOn w:val="Normln"/>
    <w:next w:val="Normln"/>
    <w:qFormat/>
    <w:rsid w:val="00F33A2A"/>
    <w:pPr>
      <w:keepNext/>
      <w:pageBreakBefore/>
      <w:spacing w:after="240"/>
      <w:outlineLvl w:val="0"/>
    </w:pPr>
    <w:rPr>
      <w:rFonts w:ascii="Arial" w:hAnsi="Arial"/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rsid w:val="00F33A2A"/>
    <w:pPr>
      <w:keepNext/>
      <w:spacing w:before="120" w:after="12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F33A2A"/>
    <w:pPr>
      <w:keepNext/>
      <w:spacing w:before="120" w:after="12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33A2A"/>
    <w:pPr>
      <w:keepNext/>
      <w:spacing w:before="60" w:after="60"/>
      <w:outlineLvl w:val="3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Zpat">
    <w:name w:val="foot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slostrnky">
    <w:name w:val="page number"/>
    <w:basedOn w:val="Standardnpsmoodstavce"/>
    <w:rsid w:val="00F33A2A"/>
    <w:rPr>
      <w:sz w:val="16"/>
    </w:rPr>
  </w:style>
  <w:style w:type="paragraph" w:customStyle="1" w:styleId="Odrazky">
    <w:name w:val="Odrazky"/>
    <w:basedOn w:val="Normln"/>
    <w:rsid w:val="00F33A2A"/>
    <w:pPr>
      <w:numPr>
        <w:numId w:val="2"/>
      </w:numPr>
      <w:spacing w:after="120"/>
      <w:jc w:val="both"/>
    </w:pPr>
  </w:style>
  <w:style w:type="paragraph" w:customStyle="1" w:styleId="Odstavec">
    <w:name w:val="Odstavec"/>
    <w:basedOn w:val="Normln"/>
    <w:rsid w:val="00F33A2A"/>
    <w:pPr>
      <w:spacing w:after="120"/>
      <w:ind w:left="992"/>
      <w:jc w:val="both"/>
    </w:pPr>
  </w:style>
  <w:style w:type="character" w:customStyle="1" w:styleId="StylE-mailovZprvy20">
    <w:name w:val="StylE-mailovéZprávy20"/>
    <w:basedOn w:val="Standardnpsmoodstavce"/>
    <w:rsid w:val="00F33A2A"/>
    <w:rPr>
      <w:rFonts w:ascii="Arial" w:hAnsi="Arial" w:cs="Arial"/>
      <w:color w:val="auto"/>
      <w:sz w:val="20"/>
    </w:rPr>
  </w:style>
  <w:style w:type="paragraph" w:styleId="Nzev">
    <w:name w:val="Title"/>
    <w:basedOn w:val="Normln"/>
    <w:qFormat/>
    <w:rsid w:val="00F33A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tylE-mailovZprvy22">
    <w:name w:val="StylE-mailovéZprávy22"/>
    <w:basedOn w:val="Standardnpsmoodstavce"/>
    <w:rsid w:val="00F33A2A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177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158"/>
    <w:pPr>
      <w:spacing w:before="100" w:after="200"/>
      <w:ind w:left="340"/>
    </w:pPr>
  </w:style>
  <w:style w:type="paragraph" w:styleId="Nadpis1">
    <w:name w:val="heading 1"/>
    <w:basedOn w:val="Normln"/>
    <w:next w:val="Normln"/>
    <w:qFormat/>
    <w:rsid w:val="00F33A2A"/>
    <w:pPr>
      <w:keepNext/>
      <w:pageBreakBefore/>
      <w:spacing w:after="240"/>
      <w:outlineLvl w:val="0"/>
    </w:pPr>
    <w:rPr>
      <w:rFonts w:ascii="Arial" w:hAnsi="Arial"/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rsid w:val="00F33A2A"/>
    <w:pPr>
      <w:keepNext/>
      <w:spacing w:before="120" w:after="12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F33A2A"/>
    <w:pPr>
      <w:keepNext/>
      <w:spacing w:before="120" w:after="12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33A2A"/>
    <w:pPr>
      <w:keepNext/>
      <w:spacing w:before="60" w:after="60"/>
      <w:outlineLvl w:val="3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Zpat">
    <w:name w:val="foot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slostrnky">
    <w:name w:val="page number"/>
    <w:basedOn w:val="Standardnpsmoodstavce"/>
    <w:rsid w:val="00F33A2A"/>
    <w:rPr>
      <w:sz w:val="16"/>
    </w:rPr>
  </w:style>
  <w:style w:type="paragraph" w:customStyle="1" w:styleId="Odrazky">
    <w:name w:val="Odrazky"/>
    <w:basedOn w:val="Normln"/>
    <w:rsid w:val="00F33A2A"/>
    <w:pPr>
      <w:numPr>
        <w:numId w:val="2"/>
      </w:numPr>
      <w:spacing w:after="120"/>
      <w:jc w:val="both"/>
    </w:pPr>
  </w:style>
  <w:style w:type="paragraph" w:customStyle="1" w:styleId="Odstavec">
    <w:name w:val="Odstavec"/>
    <w:basedOn w:val="Normln"/>
    <w:rsid w:val="00F33A2A"/>
    <w:pPr>
      <w:spacing w:after="120"/>
      <w:ind w:left="992"/>
      <w:jc w:val="both"/>
    </w:pPr>
  </w:style>
  <w:style w:type="character" w:customStyle="1" w:styleId="StylE-mailovZprvy20">
    <w:name w:val="StylE-mailovéZprávy20"/>
    <w:basedOn w:val="Standardnpsmoodstavce"/>
    <w:rsid w:val="00F33A2A"/>
    <w:rPr>
      <w:rFonts w:ascii="Arial" w:hAnsi="Arial" w:cs="Arial"/>
      <w:color w:val="auto"/>
      <w:sz w:val="20"/>
    </w:rPr>
  </w:style>
  <w:style w:type="paragraph" w:styleId="Nzev">
    <w:name w:val="Title"/>
    <w:basedOn w:val="Normln"/>
    <w:qFormat/>
    <w:rsid w:val="00F33A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tylE-mailovZprvy22">
    <w:name w:val="StylE-mailovéZprávy22"/>
    <w:basedOn w:val="Standardnpsmoodstavce"/>
    <w:rsid w:val="00F33A2A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17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2152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Česká pojišťovna a.s.</Company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verze 2.3 (pro Word 2007)</dc:subject>
  <dc:creator>Masner Václav</dc:creator>
  <cp:lastModifiedBy>Masner Václav</cp:lastModifiedBy>
  <cp:revision>4</cp:revision>
  <dcterms:created xsi:type="dcterms:W3CDTF">2016-03-30T13:51:00Z</dcterms:created>
  <dcterms:modified xsi:type="dcterms:W3CDTF">2016-03-30T14:20:00Z</dcterms:modified>
</cp:coreProperties>
</file>